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093A" w:rsidRDefault="00000000">
      <w:pPr>
        <w:spacing w:after="0" w:line="360" w:lineRule="auto"/>
        <w:rPr>
          <w:rFonts w:ascii="Arial" w:eastAsia="Arial" w:hAnsi="Arial" w:cs="Arial"/>
          <w:b/>
        </w:rPr>
      </w:pPr>
      <w:r>
        <w:rPr>
          <w:rFonts w:ascii="Arial" w:eastAsia="Arial" w:hAnsi="Arial" w:cs="Arial"/>
          <w:b/>
        </w:rPr>
        <w:t>Central Venous Line Dressing Change</w:t>
      </w:r>
    </w:p>
    <w:p w14:paraId="00000002" w14:textId="77777777" w:rsidR="00EE093A" w:rsidRDefault="00EE093A">
      <w:pPr>
        <w:spacing w:after="0" w:line="360" w:lineRule="auto"/>
        <w:rPr>
          <w:rFonts w:ascii="Arial" w:eastAsia="Arial" w:hAnsi="Arial" w:cs="Arial"/>
          <w:b/>
        </w:rPr>
      </w:pPr>
    </w:p>
    <w:p w14:paraId="00000005" w14:textId="77777777" w:rsidR="00EE093A" w:rsidRDefault="00000000">
      <w:pPr>
        <w:spacing w:after="0" w:line="360" w:lineRule="auto"/>
        <w:rPr>
          <w:rFonts w:ascii="Arial" w:eastAsia="Arial" w:hAnsi="Arial" w:cs="Arial"/>
        </w:rPr>
      </w:pPr>
      <w:r>
        <w:rPr>
          <w:rFonts w:ascii="Arial" w:eastAsia="Arial" w:hAnsi="Arial" w:cs="Arial"/>
          <w:b/>
        </w:rPr>
        <w:t>*THIS PROCEDURE IS TYPICALLY PERFORMED BY A REGISTERED NURSE</w:t>
      </w:r>
    </w:p>
    <w:p w14:paraId="00000006" w14:textId="18A67E36" w:rsidR="00EE093A" w:rsidRDefault="00000000">
      <w:pPr>
        <w:spacing w:after="0" w:line="360" w:lineRule="auto"/>
        <w:rPr>
          <w:rFonts w:ascii="Arial" w:eastAsia="Arial" w:hAnsi="Arial" w:cs="Arial"/>
          <w:b/>
        </w:rPr>
      </w:pPr>
      <w:r>
        <w:rPr>
          <w:rFonts w:ascii="Arial" w:eastAsia="Arial" w:hAnsi="Arial" w:cs="Arial"/>
          <w:b/>
        </w:rPr>
        <w:t xml:space="preserve">The use of this procedure guideline assumes that the registered nurse has the nursing education and skills to perform this task. This procedure guideline does not replace nursing clinical judgment. The registered nurse should contact the student’s healthcare team for guidance on how to perform this procedure. </w:t>
      </w:r>
    </w:p>
    <w:p w14:paraId="00000007" w14:textId="77777777" w:rsidR="00EE093A" w:rsidRDefault="00EE093A">
      <w:pPr>
        <w:spacing w:after="0" w:line="360" w:lineRule="auto"/>
        <w:rPr>
          <w:rFonts w:ascii="Arial" w:eastAsia="Arial" w:hAnsi="Arial" w:cs="Arial"/>
          <w:b/>
        </w:rPr>
      </w:pPr>
    </w:p>
    <w:p w14:paraId="00000008" w14:textId="77777777" w:rsidR="00EE093A" w:rsidRDefault="00000000">
      <w:pPr>
        <w:spacing w:after="0" w:line="360" w:lineRule="auto"/>
        <w:rPr>
          <w:rFonts w:ascii="Arial" w:eastAsia="Arial" w:hAnsi="Arial" w:cs="Arial"/>
          <w:b/>
        </w:rPr>
      </w:pPr>
      <w:r>
        <w:rPr>
          <w:rFonts w:ascii="Arial" w:eastAsia="Arial" w:hAnsi="Arial" w:cs="Arial"/>
          <w:b/>
        </w:rPr>
        <w:t xml:space="preserve">Considerations: </w:t>
      </w:r>
    </w:p>
    <w:p w14:paraId="00000009" w14:textId="77777777" w:rsidR="00EE093A" w:rsidRDefault="00000000">
      <w:pPr>
        <w:numPr>
          <w:ilvl w:val="0"/>
          <w:numId w:val="5"/>
        </w:numPr>
        <w:spacing w:after="0" w:line="360" w:lineRule="auto"/>
        <w:rPr>
          <w:rFonts w:ascii="Arial" w:eastAsia="Arial" w:hAnsi="Arial" w:cs="Arial"/>
          <w:b/>
        </w:rPr>
      </w:pPr>
      <w:r>
        <w:rPr>
          <w:rFonts w:ascii="Arial" w:eastAsia="Arial" w:hAnsi="Arial" w:cs="Arial"/>
          <w:b/>
        </w:rPr>
        <w:t xml:space="preserve">A central venous line dressing change </w:t>
      </w:r>
      <w:r>
        <w:rPr>
          <w:rFonts w:ascii="Arial" w:eastAsia="Arial" w:hAnsi="Arial" w:cs="Arial"/>
          <w:b/>
          <w:u w:val="single"/>
        </w:rPr>
        <w:t xml:space="preserve">would not be considered a routine procedure in the school setting </w:t>
      </w:r>
      <w:r>
        <w:rPr>
          <w:rFonts w:ascii="Arial" w:eastAsia="Arial" w:hAnsi="Arial" w:cs="Arial"/>
          <w:b/>
        </w:rPr>
        <w:t>and should only be completed if the catheter site dressing becomes damp, loosened, or visibly soiled.</w:t>
      </w:r>
    </w:p>
    <w:p w14:paraId="0000000A" w14:textId="77777777" w:rsidR="00EE093A" w:rsidRDefault="00000000">
      <w:pPr>
        <w:numPr>
          <w:ilvl w:val="1"/>
          <w:numId w:val="5"/>
        </w:numPr>
        <w:spacing w:after="0" w:line="360" w:lineRule="auto"/>
        <w:rPr>
          <w:rFonts w:ascii="Arial" w:eastAsia="Arial" w:hAnsi="Arial" w:cs="Arial"/>
          <w:b/>
        </w:rPr>
      </w:pPr>
      <w:r>
        <w:rPr>
          <w:rFonts w:ascii="Arial" w:eastAsia="Arial" w:hAnsi="Arial" w:cs="Arial"/>
          <w:b/>
        </w:rPr>
        <w:t xml:space="preserve">This is a complex procedure that requires the registered nurse to have the necessary education, training and experience to perform this procedure. </w:t>
      </w:r>
    </w:p>
    <w:p w14:paraId="0000000B" w14:textId="77777777" w:rsidR="00EE093A" w:rsidRDefault="00000000">
      <w:pPr>
        <w:numPr>
          <w:ilvl w:val="1"/>
          <w:numId w:val="5"/>
        </w:numPr>
        <w:spacing w:after="0" w:line="360" w:lineRule="auto"/>
        <w:rPr>
          <w:rFonts w:ascii="Arial" w:eastAsia="Arial" w:hAnsi="Arial" w:cs="Arial"/>
          <w:b/>
        </w:rPr>
      </w:pPr>
      <w:r>
        <w:rPr>
          <w:rFonts w:ascii="Arial" w:eastAsia="Arial" w:hAnsi="Arial" w:cs="Arial"/>
          <w:b/>
        </w:rPr>
        <w:t xml:space="preserve">This procedure requires additional resources including a second person to assist with the procedure, 30 minutes of uninterrupted time, and the ability to perform this procedure using </w:t>
      </w:r>
      <w:hyperlink r:id="rId8">
        <w:r>
          <w:rPr>
            <w:rFonts w:ascii="Arial" w:eastAsia="Arial" w:hAnsi="Arial" w:cs="Arial"/>
            <w:b/>
            <w:color w:val="1155CC"/>
            <w:u w:val="single"/>
          </w:rPr>
          <w:t>Aseptic non touch technique (ANTT®)</w:t>
        </w:r>
      </w:hyperlink>
      <w:r>
        <w:rPr>
          <w:rFonts w:ascii="Arial" w:eastAsia="Arial" w:hAnsi="Arial" w:cs="Arial"/>
          <w:b/>
        </w:rPr>
        <w:t xml:space="preserve">. </w:t>
      </w:r>
    </w:p>
    <w:p w14:paraId="0000000C" w14:textId="46448A0D" w:rsidR="00EE093A" w:rsidRDefault="00000000">
      <w:pPr>
        <w:numPr>
          <w:ilvl w:val="1"/>
          <w:numId w:val="5"/>
        </w:numPr>
        <w:spacing w:after="0" w:line="360" w:lineRule="auto"/>
        <w:rPr>
          <w:rFonts w:ascii="Arial" w:eastAsia="Arial" w:hAnsi="Arial" w:cs="Arial"/>
          <w:b/>
        </w:rPr>
      </w:pPr>
      <w:r>
        <w:rPr>
          <w:rFonts w:ascii="Arial" w:eastAsia="Arial" w:hAnsi="Arial" w:cs="Arial"/>
          <w:b/>
        </w:rPr>
        <w:t xml:space="preserve">If the registered nurse does not have the capability to perform this procedure then the registered nurse should discuss with the student’s parents/guardians and healthcare provider to arrange a different plan. </w:t>
      </w:r>
    </w:p>
    <w:p w14:paraId="0000000D" w14:textId="4E70E38C" w:rsidR="00EE093A" w:rsidRDefault="00000000">
      <w:pPr>
        <w:numPr>
          <w:ilvl w:val="0"/>
          <w:numId w:val="5"/>
        </w:numPr>
        <w:spacing w:after="0" w:line="360" w:lineRule="auto"/>
        <w:rPr>
          <w:rFonts w:ascii="Arial" w:eastAsia="Arial" w:hAnsi="Arial" w:cs="Arial"/>
        </w:rPr>
      </w:pPr>
      <w:r>
        <w:rPr>
          <w:rFonts w:ascii="Arial" w:eastAsia="Arial" w:hAnsi="Arial" w:cs="Arial"/>
        </w:rPr>
        <w:t>If there is a risk for dislodging the catheter, do not change the dressing, reinforce the dressing and call parents/guardian and healthcare provider.</w:t>
      </w:r>
    </w:p>
    <w:p w14:paraId="0000000E" w14:textId="77777777" w:rsidR="00EE093A" w:rsidRDefault="00000000">
      <w:pPr>
        <w:numPr>
          <w:ilvl w:val="0"/>
          <w:numId w:val="5"/>
        </w:numPr>
        <w:spacing w:after="0" w:line="360" w:lineRule="auto"/>
        <w:rPr>
          <w:rFonts w:ascii="Arial" w:eastAsia="Arial" w:hAnsi="Arial" w:cs="Arial"/>
        </w:rPr>
      </w:pPr>
      <w:r>
        <w:rPr>
          <w:rFonts w:ascii="Arial" w:eastAsia="Arial" w:hAnsi="Arial" w:cs="Arial"/>
        </w:rPr>
        <w:t>Determine the need for assistance of another person to hold or comfort the student while performing the procedure to ensure that sterile technique is maintained throughout the procedure.</w:t>
      </w:r>
    </w:p>
    <w:p w14:paraId="0000000F" w14:textId="77777777" w:rsidR="00EE093A" w:rsidRDefault="00000000">
      <w:pPr>
        <w:numPr>
          <w:ilvl w:val="0"/>
          <w:numId w:val="5"/>
        </w:numPr>
        <w:spacing w:after="0" w:line="360" w:lineRule="auto"/>
        <w:rPr>
          <w:rFonts w:ascii="Arial" w:eastAsia="Arial" w:hAnsi="Arial" w:cs="Arial"/>
        </w:rPr>
      </w:pPr>
      <w:r>
        <w:rPr>
          <w:rFonts w:ascii="Arial" w:eastAsia="Arial" w:hAnsi="Arial" w:cs="Arial"/>
        </w:rPr>
        <w:t>Best practice is to have two adults present for the dressing change.</w:t>
      </w:r>
    </w:p>
    <w:p w14:paraId="00000010" w14:textId="77777777" w:rsidR="00EE093A" w:rsidRDefault="00000000">
      <w:pPr>
        <w:numPr>
          <w:ilvl w:val="0"/>
          <w:numId w:val="5"/>
        </w:numPr>
        <w:spacing w:after="0" w:line="360" w:lineRule="auto"/>
        <w:rPr>
          <w:rFonts w:ascii="Arial" w:eastAsia="Arial" w:hAnsi="Arial" w:cs="Arial"/>
        </w:rPr>
      </w:pPr>
      <w:r>
        <w:rPr>
          <w:rFonts w:ascii="Arial" w:eastAsia="Arial" w:hAnsi="Arial" w:cs="Arial"/>
        </w:rPr>
        <w:t xml:space="preserve">Adhere to </w:t>
      </w:r>
      <w:hyperlink r:id="rId9">
        <w:r>
          <w:rPr>
            <w:rFonts w:ascii="Arial" w:eastAsia="Arial" w:hAnsi="Arial" w:cs="Arial"/>
            <w:color w:val="1155CC"/>
            <w:u w:val="single"/>
          </w:rPr>
          <w:t xml:space="preserve">Aseptic non touch technique (ANTT®) </w:t>
        </w:r>
      </w:hyperlink>
      <w:r>
        <w:rPr>
          <w:rFonts w:ascii="Arial" w:eastAsia="Arial" w:hAnsi="Arial" w:cs="Arial"/>
        </w:rPr>
        <w:t xml:space="preserve"> when providing site care and dressing changes on venous access devices.</w:t>
      </w:r>
    </w:p>
    <w:p w14:paraId="00000011" w14:textId="77777777" w:rsidR="00EE093A" w:rsidRDefault="00000000">
      <w:pPr>
        <w:numPr>
          <w:ilvl w:val="0"/>
          <w:numId w:val="5"/>
        </w:numPr>
        <w:spacing w:after="0" w:line="360" w:lineRule="auto"/>
        <w:rPr>
          <w:rFonts w:ascii="Arial" w:eastAsia="Arial" w:hAnsi="Arial" w:cs="Arial"/>
        </w:rPr>
      </w:pPr>
      <w:r>
        <w:rPr>
          <w:rFonts w:ascii="Arial" w:eastAsia="Arial" w:hAnsi="Arial" w:cs="Arial"/>
        </w:rPr>
        <w:t>Be sure to take steps to ensure student’s privacy when performing procedure.</w:t>
      </w:r>
    </w:p>
    <w:p w14:paraId="00000012" w14:textId="77777777" w:rsidR="00EE093A" w:rsidRDefault="00000000">
      <w:pPr>
        <w:numPr>
          <w:ilvl w:val="0"/>
          <w:numId w:val="5"/>
        </w:numPr>
        <w:spacing w:after="0" w:line="360" w:lineRule="auto"/>
        <w:rPr>
          <w:rFonts w:ascii="Arial" w:eastAsia="Arial" w:hAnsi="Arial" w:cs="Arial"/>
        </w:rPr>
      </w:pPr>
      <w:r>
        <w:rPr>
          <w:rFonts w:ascii="Arial" w:eastAsia="Arial" w:hAnsi="Arial" w:cs="Arial"/>
        </w:rPr>
        <w:t>Student should have an emergency kit readily available at all times (including field trips).</w:t>
      </w:r>
    </w:p>
    <w:p w14:paraId="00000013" w14:textId="4D875D69" w:rsidR="00EE093A" w:rsidRDefault="00000000">
      <w:pPr>
        <w:numPr>
          <w:ilvl w:val="0"/>
          <w:numId w:val="5"/>
        </w:numPr>
        <w:spacing w:after="0" w:line="360" w:lineRule="auto"/>
        <w:rPr>
          <w:rFonts w:ascii="Arial" w:eastAsia="Arial" w:hAnsi="Arial" w:cs="Arial"/>
        </w:rPr>
      </w:pPr>
      <w:r>
        <w:rPr>
          <w:rFonts w:ascii="Arial" w:eastAsia="Arial" w:hAnsi="Arial" w:cs="Arial"/>
        </w:rPr>
        <w:t>Student’s Individualized Health</w:t>
      </w:r>
      <w:r w:rsidR="001912FE">
        <w:rPr>
          <w:rFonts w:ascii="Arial" w:eastAsia="Arial" w:hAnsi="Arial" w:cs="Arial"/>
        </w:rPr>
        <w:t>c</w:t>
      </w:r>
      <w:r>
        <w:rPr>
          <w:rFonts w:ascii="Arial" w:eastAsia="Arial" w:hAnsi="Arial" w:cs="Arial"/>
        </w:rPr>
        <w:t xml:space="preserve">are Plan should include documentation of the external catheter length and the external catheter length should be verified and documented during dressing change (see Step 29). </w:t>
      </w:r>
    </w:p>
    <w:p w14:paraId="00000014" w14:textId="77777777" w:rsidR="00EE093A" w:rsidRDefault="00000000">
      <w:pPr>
        <w:spacing w:after="0" w:line="360" w:lineRule="auto"/>
        <w:rPr>
          <w:rFonts w:ascii="Arial" w:eastAsia="Arial" w:hAnsi="Arial" w:cs="Arial"/>
        </w:rPr>
      </w:pPr>
      <w:r>
        <w:rPr>
          <w:rFonts w:ascii="Arial" w:eastAsia="Arial" w:hAnsi="Arial" w:cs="Arial"/>
          <w:b/>
        </w:rPr>
        <w:br/>
        <w:t>Supplies:</w:t>
      </w:r>
    </w:p>
    <w:p w14:paraId="00000015" w14:textId="5D176799" w:rsidR="00EE093A" w:rsidRDefault="00000000">
      <w:pPr>
        <w:numPr>
          <w:ilvl w:val="0"/>
          <w:numId w:val="4"/>
        </w:numPr>
        <w:spacing w:after="0" w:line="360" w:lineRule="auto"/>
        <w:rPr>
          <w:rFonts w:ascii="Arial" w:eastAsia="Arial" w:hAnsi="Arial" w:cs="Arial"/>
        </w:rPr>
      </w:pPr>
      <w:r>
        <w:rPr>
          <w:rFonts w:ascii="Arial" w:eastAsia="Arial" w:hAnsi="Arial" w:cs="Arial"/>
        </w:rPr>
        <w:lastRenderedPageBreak/>
        <w:t>Healthcare provider’s orders</w:t>
      </w:r>
    </w:p>
    <w:p w14:paraId="00000016" w14:textId="77777777" w:rsidR="00EE093A" w:rsidRDefault="00000000">
      <w:pPr>
        <w:numPr>
          <w:ilvl w:val="0"/>
          <w:numId w:val="4"/>
        </w:numPr>
        <w:spacing w:after="0" w:line="360" w:lineRule="auto"/>
        <w:rPr>
          <w:rFonts w:ascii="Arial" w:eastAsia="Arial" w:hAnsi="Arial" w:cs="Arial"/>
        </w:rPr>
      </w:pPr>
      <w:r>
        <w:rPr>
          <w:rFonts w:ascii="Arial" w:eastAsia="Arial" w:hAnsi="Arial" w:cs="Arial"/>
        </w:rPr>
        <w:t>Parent/Guardian authorization form</w:t>
      </w:r>
    </w:p>
    <w:p w14:paraId="00000017" w14:textId="36FBB8DC" w:rsidR="00EE093A" w:rsidRDefault="00000000">
      <w:pPr>
        <w:numPr>
          <w:ilvl w:val="0"/>
          <w:numId w:val="4"/>
        </w:numPr>
        <w:spacing w:after="0" w:line="360" w:lineRule="auto"/>
        <w:rPr>
          <w:rFonts w:ascii="Arial" w:eastAsia="Arial" w:hAnsi="Arial" w:cs="Arial"/>
        </w:rPr>
      </w:pPr>
      <w:r>
        <w:rPr>
          <w:rFonts w:ascii="Arial" w:eastAsia="Arial" w:hAnsi="Arial" w:cs="Arial"/>
        </w:rPr>
        <w:t>Student’s Individualized Health</w:t>
      </w:r>
      <w:r w:rsidR="001912FE">
        <w:rPr>
          <w:rFonts w:ascii="Arial" w:eastAsia="Arial" w:hAnsi="Arial" w:cs="Arial"/>
        </w:rPr>
        <w:t>c</w:t>
      </w:r>
      <w:r>
        <w:rPr>
          <w:rFonts w:ascii="Arial" w:eastAsia="Arial" w:hAnsi="Arial" w:cs="Arial"/>
        </w:rPr>
        <w:t>are Plan (IHC)</w:t>
      </w:r>
    </w:p>
    <w:p w14:paraId="00000018" w14:textId="77777777" w:rsidR="00EE093A" w:rsidRDefault="00000000">
      <w:pPr>
        <w:numPr>
          <w:ilvl w:val="0"/>
          <w:numId w:val="4"/>
        </w:numPr>
        <w:spacing w:after="0" w:line="360" w:lineRule="auto"/>
        <w:rPr>
          <w:rFonts w:ascii="Arial" w:eastAsia="Arial" w:hAnsi="Arial" w:cs="Arial"/>
        </w:rPr>
      </w:pPr>
      <w:r>
        <w:rPr>
          <w:rFonts w:ascii="Arial" w:eastAsia="Arial" w:hAnsi="Arial" w:cs="Arial"/>
        </w:rPr>
        <w:t>Non-sterile gloves</w:t>
      </w:r>
    </w:p>
    <w:p w14:paraId="00000019" w14:textId="77777777" w:rsidR="00EE093A" w:rsidRDefault="00000000">
      <w:pPr>
        <w:numPr>
          <w:ilvl w:val="0"/>
          <w:numId w:val="4"/>
        </w:numPr>
        <w:spacing w:after="0" w:line="360" w:lineRule="auto"/>
        <w:rPr>
          <w:rFonts w:ascii="Arial" w:eastAsia="Arial" w:hAnsi="Arial" w:cs="Arial"/>
        </w:rPr>
      </w:pPr>
      <w:r>
        <w:rPr>
          <w:rFonts w:ascii="Arial" w:eastAsia="Arial" w:hAnsi="Arial" w:cs="Arial"/>
          <w:b/>
        </w:rPr>
        <w:t>Chlorhexidine catheter dressing kit:</w:t>
      </w:r>
    </w:p>
    <w:p w14:paraId="0000001A"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Sterile gloves</w:t>
      </w:r>
    </w:p>
    <w:p w14:paraId="0000001B"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Mask</w:t>
      </w:r>
    </w:p>
    <w:p w14:paraId="0000001C"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No sting barrier</w:t>
      </w:r>
    </w:p>
    <w:p w14:paraId="0000001D"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2% chlorhexidine gluconate in 70% isopropyl alcohol, Povidone iodine swabsticks, or student specific cleaning supplies</w:t>
      </w:r>
    </w:p>
    <w:p w14:paraId="0000001E"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Alcohol wipes</w:t>
      </w:r>
    </w:p>
    <w:p w14:paraId="0000001F"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Sterile gauze</w:t>
      </w:r>
    </w:p>
    <w:p w14:paraId="00000020"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 xml:space="preserve">Sterile transparent occlusive dressing </w:t>
      </w:r>
    </w:p>
    <w:p w14:paraId="00000021"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Adhesive tape</w:t>
      </w:r>
    </w:p>
    <w:p w14:paraId="00000022"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Hand sanitizer</w:t>
      </w:r>
    </w:p>
    <w:p w14:paraId="00000023"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Adhesive remover</w:t>
      </w:r>
    </w:p>
    <w:p w14:paraId="00000024"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Biopatch</w:t>
      </w:r>
    </w:p>
    <w:p w14:paraId="00000025"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Tape measure</w:t>
      </w:r>
    </w:p>
    <w:p w14:paraId="00000026"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Dressing label</w:t>
      </w:r>
    </w:p>
    <w:p w14:paraId="00000027" w14:textId="77777777" w:rsidR="00EE093A" w:rsidRDefault="00000000">
      <w:pPr>
        <w:numPr>
          <w:ilvl w:val="1"/>
          <w:numId w:val="4"/>
        </w:numPr>
        <w:spacing w:after="0" w:line="360" w:lineRule="auto"/>
        <w:rPr>
          <w:rFonts w:ascii="Arial" w:eastAsia="Arial" w:hAnsi="Arial" w:cs="Arial"/>
        </w:rPr>
      </w:pPr>
      <w:r>
        <w:rPr>
          <w:rFonts w:ascii="Arial" w:eastAsia="Arial" w:hAnsi="Arial" w:cs="Arial"/>
        </w:rPr>
        <w:t>Stabilization device, if used</w:t>
      </w:r>
    </w:p>
    <w:p w14:paraId="00000028" w14:textId="77777777" w:rsidR="00EE093A" w:rsidRDefault="00000000">
      <w:pPr>
        <w:numPr>
          <w:ilvl w:val="0"/>
          <w:numId w:val="2"/>
        </w:numPr>
        <w:spacing w:after="0" w:line="360" w:lineRule="auto"/>
        <w:ind w:left="720" w:hanging="360"/>
        <w:rPr>
          <w:rFonts w:ascii="Arial" w:eastAsia="Arial" w:hAnsi="Arial" w:cs="Arial"/>
          <w:b/>
          <w:color w:val="000000"/>
        </w:rPr>
      </w:pPr>
      <w:r>
        <w:rPr>
          <w:rFonts w:ascii="Arial" w:eastAsia="Arial" w:hAnsi="Arial" w:cs="Arial"/>
          <w:b/>
          <w:color w:val="000000"/>
        </w:rPr>
        <w:t>Emergency Kit:</w:t>
      </w:r>
    </w:p>
    <w:p w14:paraId="00000029" w14:textId="77777777" w:rsidR="00EE093A" w:rsidRDefault="00000000">
      <w:pPr>
        <w:numPr>
          <w:ilvl w:val="0"/>
          <w:numId w:val="2"/>
        </w:numPr>
        <w:spacing w:after="0" w:line="360" w:lineRule="auto"/>
        <w:ind w:left="1440" w:hanging="360"/>
        <w:rPr>
          <w:rFonts w:ascii="Arial" w:eastAsia="Arial" w:hAnsi="Arial" w:cs="Arial"/>
          <w:color w:val="000000"/>
        </w:rPr>
      </w:pPr>
      <w:r>
        <w:rPr>
          <w:rFonts w:ascii="Arial" w:eastAsia="Arial" w:hAnsi="Arial" w:cs="Arial"/>
          <w:color w:val="000000"/>
        </w:rPr>
        <w:t>Chlorhexidine kit</w:t>
      </w:r>
    </w:p>
    <w:p w14:paraId="0000002A" w14:textId="77777777" w:rsidR="00EE093A" w:rsidRDefault="00000000">
      <w:pPr>
        <w:numPr>
          <w:ilvl w:val="0"/>
          <w:numId w:val="2"/>
        </w:numPr>
        <w:spacing w:after="0" w:line="360" w:lineRule="auto"/>
        <w:ind w:left="1440" w:hanging="360"/>
        <w:rPr>
          <w:rFonts w:ascii="Arial" w:eastAsia="Arial" w:hAnsi="Arial" w:cs="Arial"/>
          <w:color w:val="000000"/>
        </w:rPr>
      </w:pPr>
      <w:r>
        <w:rPr>
          <w:rFonts w:ascii="Arial" w:eastAsia="Arial" w:hAnsi="Arial" w:cs="Arial"/>
          <w:color w:val="000000"/>
        </w:rPr>
        <w:t xml:space="preserve">Catheter cap </w:t>
      </w:r>
    </w:p>
    <w:p w14:paraId="0000002B" w14:textId="77777777" w:rsidR="00EE093A" w:rsidRDefault="00000000">
      <w:pPr>
        <w:numPr>
          <w:ilvl w:val="0"/>
          <w:numId w:val="2"/>
        </w:numPr>
        <w:spacing w:after="0" w:line="360" w:lineRule="auto"/>
        <w:ind w:left="1440" w:hanging="360"/>
        <w:rPr>
          <w:rFonts w:ascii="Arial" w:eastAsia="Arial" w:hAnsi="Arial" w:cs="Arial"/>
          <w:color w:val="000000"/>
        </w:rPr>
      </w:pPr>
      <w:r>
        <w:rPr>
          <w:rFonts w:ascii="Arial" w:eastAsia="Arial" w:hAnsi="Arial" w:cs="Arial"/>
          <w:color w:val="000000"/>
        </w:rPr>
        <w:t>Stat lock</w:t>
      </w:r>
    </w:p>
    <w:p w14:paraId="0000002C" w14:textId="77777777" w:rsidR="00EE093A" w:rsidRDefault="00000000">
      <w:pPr>
        <w:numPr>
          <w:ilvl w:val="0"/>
          <w:numId w:val="2"/>
        </w:numPr>
        <w:spacing w:after="0" w:line="360" w:lineRule="auto"/>
        <w:ind w:left="1440" w:hanging="360"/>
        <w:rPr>
          <w:rFonts w:ascii="Arial" w:eastAsia="Arial" w:hAnsi="Arial" w:cs="Arial"/>
          <w:b/>
          <w:color w:val="000000"/>
        </w:rPr>
      </w:pPr>
      <w:r>
        <w:rPr>
          <w:rFonts w:ascii="Arial" w:eastAsia="Arial" w:hAnsi="Arial" w:cs="Arial"/>
          <w:color w:val="000000"/>
        </w:rPr>
        <w:t>Clean gloves</w:t>
      </w:r>
    </w:p>
    <w:p w14:paraId="0000002D" w14:textId="77777777" w:rsidR="00EE093A" w:rsidRDefault="00000000">
      <w:pPr>
        <w:numPr>
          <w:ilvl w:val="0"/>
          <w:numId w:val="2"/>
        </w:numPr>
        <w:spacing w:after="0" w:line="360" w:lineRule="auto"/>
        <w:ind w:left="1440" w:hanging="360"/>
        <w:rPr>
          <w:rFonts w:ascii="Arial" w:eastAsia="Arial" w:hAnsi="Arial" w:cs="Arial"/>
          <w:color w:val="000000"/>
        </w:rPr>
      </w:pPr>
      <w:r>
        <w:rPr>
          <w:rFonts w:ascii="Arial" w:eastAsia="Arial" w:hAnsi="Arial" w:cs="Arial"/>
          <w:color w:val="000000"/>
        </w:rPr>
        <w:t>Flushing supplies:</w:t>
      </w:r>
    </w:p>
    <w:p w14:paraId="0000002E" w14:textId="77777777" w:rsidR="00EE093A" w:rsidRDefault="00000000">
      <w:pPr>
        <w:numPr>
          <w:ilvl w:val="0"/>
          <w:numId w:val="3"/>
        </w:numPr>
        <w:spacing w:after="0" w:line="360" w:lineRule="auto"/>
        <w:ind w:left="1980" w:hanging="270"/>
        <w:rPr>
          <w:rFonts w:ascii="Arial" w:eastAsia="Arial" w:hAnsi="Arial" w:cs="Arial"/>
          <w:color w:val="000000"/>
        </w:rPr>
      </w:pPr>
      <w:r>
        <w:rPr>
          <w:rFonts w:ascii="Arial" w:eastAsia="Arial" w:hAnsi="Arial" w:cs="Arial"/>
          <w:color w:val="000000"/>
        </w:rPr>
        <w:t>70% isopropyl alcohol wipes</w:t>
      </w:r>
    </w:p>
    <w:p w14:paraId="0000002F" w14:textId="77777777" w:rsidR="00EE093A" w:rsidRDefault="00000000">
      <w:pPr>
        <w:numPr>
          <w:ilvl w:val="0"/>
          <w:numId w:val="3"/>
        </w:numPr>
        <w:spacing w:after="0" w:line="360" w:lineRule="auto"/>
        <w:ind w:left="1980" w:hanging="270"/>
        <w:rPr>
          <w:rFonts w:ascii="Arial" w:eastAsia="Arial" w:hAnsi="Arial" w:cs="Arial"/>
          <w:color w:val="000000"/>
        </w:rPr>
      </w:pPr>
      <w:r>
        <w:rPr>
          <w:rFonts w:ascii="Arial" w:eastAsia="Arial" w:hAnsi="Arial" w:cs="Arial"/>
          <w:color w:val="000000"/>
        </w:rPr>
        <w:t>10 ml syringes</w:t>
      </w:r>
    </w:p>
    <w:p w14:paraId="00000030" w14:textId="77777777" w:rsidR="00EE093A" w:rsidRDefault="00000000">
      <w:pPr>
        <w:numPr>
          <w:ilvl w:val="0"/>
          <w:numId w:val="3"/>
        </w:numPr>
        <w:spacing w:after="0" w:line="360" w:lineRule="auto"/>
        <w:ind w:left="1980" w:hanging="270"/>
        <w:rPr>
          <w:rFonts w:ascii="Arial" w:eastAsia="Arial" w:hAnsi="Arial" w:cs="Arial"/>
          <w:b/>
          <w:color w:val="000000"/>
        </w:rPr>
      </w:pPr>
      <w:r>
        <w:rPr>
          <w:rFonts w:ascii="Arial" w:eastAsia="Arial" w:hAnsi="Arial" w:cs="Arial"/>
          <w:color w:val="000000"/>
        </w:rPr>
        <w:t xml:space="preserve">Heparin flush </w:t>
      </w:r>
    </w:p>
    <w:p w14:paraId="00000031" w14:textId="77777777" w:rsidR="00EE093A" w:rsidRDefault="00000000">
      <w:pPr>
        <w:spacing w:after="0" w:line="360" w:lineRule="auto"/>
        <w:rPr>
          <w:rFonts w:ascii="Arial" w:eastAsia="Arial" w:hAnsi="Arial" w:cs="Arial"/>
          <w:b/>
        </w:rPr>
      </w:pPr>
      <w:r>
        <w:rPr>
          <w:rFonts w:ascii="Arial" w:eastAsia="Arial" w:hAnsi="Arial" w:cs="Arial"/>
        </w:rPr>
        <w:br/>
      </w:r>
      <w:r>
        <w:rPr>
          <w:rFonts w:ascii="Arial" w:eastAsia="Arial" w:hAnsi="Arial" w:cs="Arial"/>
          <w:b/>
        </w:rPr>
        <w:t>Procedure for central venous line dressing change:</w:t>
      </w:r>
    </w:p>
    <w:p w14:paraId="00000032" w14:textId="5BD64EFE" w:rsidR="00EE093A" w:rsidRDefault="00000000">
      <w:pPr>
        <w:numPr>
          <w:ilvl w:val="0"/>
          <w:numId w:val="1"/>
        </w:numPr>
        <w:spacing w:after="0" w:line="360" w:lineRule="auto"/>
        <w:rPr>
          <w:rFonts w:ascii="Arial" w:eastAsia="Arial" w:hAnsi="Arial" w:cs="Arial"/>
        </w:rPr>
      </w:pPr>
      <w:r>
        <w:rPr>
          <w:rFonts w:ascii="Arial" w:eastAsia="Arial" w:hAnsi="Arial" w:cs="Arial"/>
        </w:rPr>
        <w:t>Review healthcare provider’s order</w:t>
      </w:r>
    </w:p>
    <w:p w14:paraId="00000033" w14:textId="20AD9150" w:rsidR="00EE093A" w:rsidRDefault="00000000">
      <w:pPr>
        <w:numPr>
          <w:ilvl w:val="1"/>
          <w:numId w:val="1"/>
        </w:numPr>
        <w:spacing w:after="0" w:line="360" w:lineRule="auto"/>
        <w:rPr>
          <w:rFonts w:ascii="Arial" w:eastAsia="Arial" w:hAnsi="Arial" w:cs="Arial"/>
        </w:rPr>
      </w:pPr>
      <w:r>
        <w:rPr>
          <w:rFonts w:ascii="Arial" w:eastAsia="Arial" w:hAnsi="Arial" w:cs="Arial"/>
        </w:rPr>
        <w:t>Note the external catheter length measurement that is documented in student’s healt</w:t>
      </w:r>
      <w:r w:rsidR="001912FE">
        <w:rPr>
          <w:rFonts w:ascii="Arial" w:eastAsia="Arial" w:hAnsi="Arial" w:cs="Arial"/>
        </w:rPr>
        <w:t xml:space="preserve">hcare </w:t>
      </w:r>
      <w:r>
        <w:rPr>
          <w:rFonts w:ascii="Arial" w:eastAsia="Arial" w:hAnsi="Arial" w:cs="Arial"/>
        </w:rPr>
        <w:t>record so you can verify that the catheter is the correct length later during the procedure (see step 29)</w:t>
      </w:r>
    </w:p>
    <w:p w14:paraId="00000034"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lastRenderedPageBreak/>
        <w:t>Ensure proper documentation of parent/guardian authorization to perform this procedure</w:t>
      </w:r>
    </w:p>
    <w:p w14:paraId="00000035"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Clean your workstation with soap and water or disinfectant wipe </w:t>
      </w:r>
    </w:p>
    <w:p w14:paraId="00000036"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Gather supplies and place on a clean surface</w:t>
      </w:r>
    </w:p>
    <w:p w14:paraId="00000037"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Explain the procedure to the student at their level of understanding</w:t>
      </w:r>
    </w:p>
    <w:p w14:paraId="00000038"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A second person should be available to assist with the dressing change</w:t>
      </w:r>
    </w:p>
    <w:p w14:paraId="00000039"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Have student put on a mask or turn their head to the side to avoid breathing directly on the catheter insertion site</w:t>
      </w:r>
    </w:p>
    <w:p w14:paraId="0000003A"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Put on mask, if someone is assisting in procedure, have that person put on mask as well</w:t>
      </w:r>
    </w:p>
    <w:p w14:paraId="0000003B"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Wash hands, if someone is assisting in procedure, have that person wash hands as well</w:t>
      </w:r>
    </w:p>
    <w:p w14:paraId="0000003C"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Have assistant put on clean gloves</w:t>
      </w:r>
    </w:p>
    <w:p w14:paraId="0000003D"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Assist student in removing clothing to uncover the dressing</w:t>
      </w:r>
    </w:p>
    <w:p w14:paraId="0000003E"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Position the student</w:t>
      </w:r>
    </w:p>
    <w:p w14:paraId="0000003F"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Student may be sitting or lying flat</w:t>
      </w:r>
    </w:p>
    <w:p w14:paraId="00000040"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Open the catheter dressing kit on your clean work surface being careful to keep the inside of the catheter dressing kit and it’s contents sterile</w:t>
      </w:r>
    </w:p>
    <w:p w14:paraId="00000041"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Put on clean gloves</w:t>
      </w:r>
    </w:p>
    <w:p w14:paraId="00000042"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Assess the insertion site through the old dressing </w:t>
      </w:r>
    </w:p>
    <w:p w14:paraId="00000043"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Observe for redness, swelling, or fluid drainage</w:t>
      </w:r>
    </w:p>
    <w:p w14:paraId="00000044"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Gently palpate the site, noting pain, tenderness, or discomfort</w:t>
      </w:r>
    </w:p>
    <w:p w14:paraId="00000045"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Remove wet or soiled dressing from the catheter exit site</w:t>
      </w:r>
    </w:p>
    <w:p w14:paraId="00000046"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 xml:space="preserve">Gently pull the dressing perpendicular to the skin toward the insertion/exit site </w:t>
      </w:r>
    </w:p>
    <w:p w14:paraId="00000047" w14:textId="77777777" w:rsidR="00EE093A" w:rsidRDefault="00000000">
      <w:pPr>
        <w:numPr>
          <w:ilvl w:val="2"/>
          <w:numId w:val="1"/>
        </w:numPr>
        <w:spacing w:after="0" w:line="360" w:lineRule="auto"/>
        <w:rPr>
          <w:rFonts w:ascii="Arial" w:eastAsia="Arial" w:hAnsi="Arial" w:cs="Arial"/>
        </w:rPr>
      </w:pPr>
      <w:r>
        <w:rPr>
          <w:rFonts w:ascii="Arial" w:eastAsia="Arial" w:hAnsi="Arial" w:cs="Arial"/>
        </w:rPr>
        <w:t xml:space="preserve">Avoid inadvertently dislodging the catheter, as it may be adhered to the dressing </w:t>
      </w:r>
    </w:p>
    <w:p w14:paraId="00000048" w14:textId="77777777" w:rsidR="00EE093A" w:rsidRDefault="00000000">
      <w:pPr>
        <w:numPr>
          <w:ilvl w:val="2"/>
          <w:numId w:val="1"/>
        </w:numPr>
        <w:spacing w:after="0" w:line="360" w:lineRule="auto"/>
        <w:rPr>
          <w:rFonts w:ascii="Arial" w:eastAsia="Arial" w:hAnsi="Arial" w:cs="Arial"/>
        </w:rPr>
      </w:pPr>
      <w:r>
        <w:rPr>
          <w:rFonts w:ascii="Arial" w:eastAsia="Arial" w:hAnsi="Arial" w:cs="Arial"/>
        </w:rPr>
        <w:t>Be sure to maintain skin integrity and prevent venous access device dislodgement (eg, avoiding rapid and/or vertical pulling or insufficient support of skin when removing the dressing)</w:t>
      </w:r>
    </w:p>
    <w:p w14:paraId="00000049"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Remove securement device or product per manufacturer’s instructions</w:t>
      </w:r>
    </w:p>
    <w:p w14:paraId="0000004A"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Remove clean gloves</w:t>
      </w:r>
    </w:p>
    <w:p w14:paraId="0000004B"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Wash hands</w:t>
      </w:r>
    </w:p>
    <w:p w14:paraId="0000004C"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Put on sterile gloves</w:t>
      </w:r>
    </w:p>
    <w:p w14:paraId="0000004D" w14:textId="77777777" w:rsidR="00EE093A" w:rsidRDefault="00000000">
      <w:pPr>
        <w:numPr>
          <w:ilvl w:val="1"/>
          <w:numId w:val="1"/>
        </w:numPr>
        <w:spacing w:after="0" w:line="360" w:lineRule="auto"/>
        <w:rPr>
          <w:rFonts w:ascii="Arial" w:eastAsia="Arial" w:hAnsi="Arial" w:cs="Arial"/>
          <w:b/>
        </w:rPr>
      </w:pPr>
      <w:r>
        <w:rPr>
          <w:rFonts w:ascii="Arial" w:eastAsia="Arial" w:hAnsi="Arial" w:cs="Arial"/>
          <w:b/>
        </w:rPr>
        <w:t>Steps 19-27 should be completed using sterile technique</w:t>
      </w:r>
    </w:p>
    <w:p w14:paraId="0000004E" w14:textId="47A15E02" w:rsidR="00EE093A" w:rsidRDefault="00000000">
      <w:pPr>
        <w:numPr>
          <w:ilvl w:val="0"/>
          <w:numId w:val="1"/>
        </w:numPr>
        <w:spacing w:after="0" w:line="360" w:lineRule="auto"/>
        <w:rPr>
          <w:rFonts w:ascii="Arial" w:eastAsia="Arial" w:hAnsi="Arial" w:cs="Arial"/>
        </w:rPr>
      </w:pPr>
      <w:r>
        <w:rPr>
          <w:rFonts w:ascii="Arial" w:eastAsia="Arial" w:hAnsi="Arial" w:cs="Arial"/>
        </w:rPr>
        <w:t>Clean the skin with a 2% chlorhexidine gluconate in 70% isopropyl alcohol swabstick (or cleaning agent per healthcare provider’s order) covering at least 2- to 3- inch area</w:t>
      </w:r>
    </w:p>
    <w:p w14:paraId="0000004F"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Apply chlorhexidine using a gentle back and forth motion</w:t>
      </w:r>
    </w:p>
    <w:p w14:paraId="00000050"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Clean the skin for at least 30 seconds</w:t>
      </w:r>
    </w:p>
    <w:p w14:paraId="00000051"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lastRenderedPageBreak/>
        <w:t>Do not wipe or blot</w:t>
      </w:r>
    </w:p>
    <w:p w14:paraId="00000052"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Allow the area to dry completely before proceeding (at least 30 seconds)</w:t>
      </w:r>
    </w:p>
    <w:p w14:paraId="00000053"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Do not blow or fan the area</w:t>
      </w:r>
    </w:p>
    <w:p w14:paraId="00000054"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Dispose of swabstick in garbage</w:t>
      </w:r>
    </w:p>
    <w:p w14:paraId="00000055"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Clean the catheter:</w:t>
      </w:r>
    </w:p>
    <w:p w14:paraId="00000056"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Hold catheter at distal end of exit site (away from skin)</w:t>
      </w:r>
    </w:p>
    <w:p w14:paraId="00000057"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 xml:space="preserve">Use another alcohol wipe or swabstick to clean the catheter.  </w:t>
      </w:r>
    </w:p>
    <w:p w14:paraId="00000058"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Wipe or swab around the catheter at the exit site and work it toward the injection cap</w:t>
      </w:r>
    </w:p>
    <w:p w14:paraId="00000059"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Apply skin barrier solution, if ordered </w:t>
      </w:r>
    </w:p>
    <w:p w14:paraId="0000005A"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Apply Biopatch disk on exit site with blue side up, if ordered </w:t>
      </w:r>
    </w:p>
    <w:p w14:paraId="0000005B"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Make sure skin is thoroughly dry before placing Biopatch disk on the skin to prevent reaction</w:t>
      </w:r>
    </w:p>
    <w:p w14:paraId="0000005C"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Apply new securement device or product</w:t>
      </w:r>
    </w:p>
    <w:p w14:paraId="0000005D" w14:textId="14A0569C"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Place transparent dressing or other type of dressing per healthcare provider’s order on catheter insertion site </w:t>
      </w:r>
    </w:p>
    <w:p w14:paraId="0000005E"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Press around the edges of the bandage to form a seal</w:t>
      </w:r>
    </w:p>
    <w:p w14:paraId="0000005F"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Verify external catheter length </w:t>
      </w:r>
    </w:p>
    <w:p w14:paraId="00000060" w14:textId="1A94FD9B" w:rsidR="00EE093A" w:rsidRDefault="00000000">
      <w:pPr>
        <w:numPr>
          <w:ilvl w:val="1"/>
          <w:numId w:val="1"/>
        </w:numPr>
        <w:spacing w:after="0" w:line="360" w:lineRule="auto"/>
        <w:rPr>
          <w:rFonts w:ascii="Arial" w:eastAsia="Arial" w:hAnsi="Arial" w:cs="Arial"/>
        </w:rPr>
      </w:pPr>
      <w:r>
        <w:rPr>
          <w:rFonts w:ascii="Arial" w:eastAsia="Arial" w:hAnsi="Arial" w:cs="Arial"/>
        </w:rPr>
        <w:t>Contact parents/guardian and health</w:t>
      </w:r>
      <w:r w:rsidR="00F66CE3">
        <w:rPr>
          <w:rFonts w:ascii="Arial" w:eastAsia="Arial" w:hAnsi="Arial" w:cs="Arial"/>
        </w:rPr>
        <w:t>c</w:t>
      </w:r>
      <w:r>
        <w:rPr>
          <w:rFonts w:ascii="Arial" w:eastAsia="Arial" w:hAnsi="Arial" w:cs="Arial"/>
        </w:rPr>
        <w:t xml:space="preserve">are provider if exit markings differ from information documented on insertion </w:t>
      </w:r>
    </w:p>
    <w:p w14:paraId="00000061"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Secure the catheter, as needed</w:t>
      </w:r>
    </w:p>
    <w:p w14:paraId="00000062"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 xml:space="preserve">Label the dressing with the date, time, and initials </w:t>
      </w:r>
    </w:p>
    <w:p w14:paraId="00000063" w14:textId="77777777" w:rsidR="00EE093A" w:rsidRDefault="00000000">
      <w:pPr>
        <w:numPr>
          <w:ilvl w:val="1"/>
          <w:numId w:val="1"/>
        </w:numPr>
        <w:spacing w:after="0" w:line="360" w:lineRule="auto"/>
        <w:rPr>
          <w:rFonts w:ascii="Arial" w:eastAsia="Arial" w:hAnsi="Arial" w:cs="Arial"/>
        </w:rPr>
      </w:pPr>
      <w:r>
        <w:rPr>
          <w:rFonts w:ascii="Arial" w:eastAsia="Arial" w:hAnsi="Arial" w:cs="Arial"/>
        </w:rPr>
        <w:t>Be sure to avoid placing the label over the insertion/exit site</w:t>
      </w:r>
    </w:p>
    <w:p w14:paraId="00000064"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Assist student in dressing</w:t>
      </w:r>
    </w:p>
    <w:p w14:paraId="00000065"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Remove mask</w:t>
      </w:r>
    </w:p>
    <w:p w14:paraId="00000066"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Remove gloves and discard mask and gloves in appropriate receptacle</w:t>
      </w:r>
    </w:p>
    <w:p w14:paraId="00000067" w14:textId="2DE1E71B" w:rsidR="00EE093A" w:rsidRDefault="00000000">
      <w:pPr>
        <w:numPr>
          <w:ilvl w:val="0"/>
          <w:numId w:val="1"/>
        </w:numPr>
        <w:spacing w:after="0" w:line="360" w:lineRule="auto"/>
        <w:rPr>
          <w:rFonts w:ascii="Arial" w:eastAsia="Arial" w:hAnsi="Arial" w:cs="Arial"/>
        </w:rPr>
      </w:pPr>
      <w:r>
        <w:rPr>
          <w:rFonts w:ascii="Arial" w:eastAsia="Arial" w:hAnsi="Arial" w:cs="Arial"/>
        </w:rPr>
        <w:t>Encourage student to report any changes in their catheter site or any new discomfort to their parents/guardian and health</w:t>
      </w:r>
      <w:r w:rsidR="00F66CE3">
        <w:rPr>
          <w:rFonts w:ascii="Arial" w:eastAsia="Arial" w:hAnsi="Arial" w:cs="Arial"/>
        </w:rPr>
        <w:t>c</w:t>
      </w:r>
      <w:r>
        <w:rPr>
          <w:rFonts w:ascii="Arial" w:eastAsia="Arial" w:hAnsi="Arial" w:cs="Arial"/>
        </w:rPr>
        <w:t>are provider</w:t>
      </w:r>
    </w:p>
    <w:p w14:paraId="00000068" w14:textId="77777777" w:rsidR="00EE093A" w:rsidRDefault="00000000">
      <w:pPr>
        <w:numPr>
          <w:ilvl w:val="0"/>
          <w:numId w:val="1"/>
        </w:numPr>
        <w:spacing w:after="0" w:line="360" w:lineRule="auto"/>
        <w:rPr>
          <w:rFonts w:ascii="Arial" w:eastAsia="Arial" w:hAnsi="Arial" w:cs="Arial"/>
        </w:rPr>
      </w:pPr>
      <w:r>
        <w:rPr>
          <w:rFonts w:ascii="Arial" w:eastAsia="Arial" w:hAnsi="Arial" w:cs="Arial"/>
        </w:rPr>
        <w:t>Document assessment, intervention and outcome in student’s health care record</w:t>
      </w:r>
    </w:p>
    <w:p w14:paraId="00000069" w14:textId="4E6BB812" w:rsidR="00EE093A" w:rsidRDefault="00000000">
      <w:pPr>
        <w:numPr>
          <w:ilvl w:val="0"/>
          <w:numId w:val="1"/>
        </w:numPr>
        <w:spacing w:after="0" w:line="360" w:lineRule="auto"/>
        <w:rPr>
          <w:rFonts w:ascii="Arial" w:eastAsia="Arial" w:hAnsi="Arial" w:cs="Arial"/>
        </w:rPr>
      </w:pPr>
      <w:r>
        <w:rPr>
          <w:rFonts w:ascii="Arial" w:eastAsia="Arial" w:hAnsi="Arial" w:cs="Arial"/>
        </w:rPr>
        <w:t>Follow up with parent/guardian and healthcare provider, as needed</w:t>
      </w:r>
    </w:p>
    <w:p w14:paraId="0000006A" w14:textId="77777777" w:rsidR="00EE093A" w:rsidRDefault="00EE093A">
      <w:pPr>
        <w:spacing w:after="0" w:line="360" w:lineRule="auto"/>
        <w:rPr>
          <w:rFonts w:ascii="Arial" w:eastAsia="Arial" w:hAnsi="Arial" w:cs="Arial"/>
          <w:b/>
        </w:rPr>
      </w:pPr>
    </w:p>
    <w:p w14:paraId="0000006B" w14:textId="77777777" w:rsidR="00EE093A" w:rsidRDefault="00000000">
      <w:pPr>
        <w:spacing w:after="0" w:line="360" w:lineRule="auto"/>
        <w:rPr>
          <w:rFonts w:ascii="Arial" w:eastAsia="Arial" w:hAnsi="Arial" w:cs="Arial"/>
        </w:rPr>
      </w:pPr>
      <w:r>
        <w:rPr>
          <w:rFonts w:ascii="Arial" w:eastAsia="Arial" w:hAnsi="Arial" w:cs="Arial"/>
          <w:b/>
        </w:rPr>
        <w:t xml:space="preserve">Emergency care of a central venous line: </w:t>
      </w:r>
      <w:r>
        <w:rPr>
          <w:rFonts w:ascii="Arial" w:eastAsia="Arial" w:hAnsi="Arial" w:cs="Arial"/>
        </w:rPr>
        <w:t xml:space="preserve"> </w:t>
      </w:r>
    </w:p>
    <w:p w14:paraId="0000006C" w14:textId="77777777" w:rsidR="00EE093A" w:rsidRDefault="00000000">
      <w:pPr>
        <w:spacing w:after="0" w:line="360" w:lineRule="auto"/>
        <w:rPr>
          <w:rFonts w:ascii="Arial" w:eastAsia="Arial" w:hAnsi="Arial" w:cs="Arial"/>
        </w:rPr>
      </w:pPr>
      <w:r>
        <w:rPr>
          <w:rFonts w:ascii="Arial" w:eastAsia="Arial" w:hAnsi="Arial" w:cs="Arial"/>
        </w:rPr>
        <w:t xml:space="preserve">If the catheter comes out: </w:t>
      </w:r>
    </w:p>
    <w:p w14:paraId="0000006D" w14:textId="77777777" w:rsidR="00EE093A" w:rsidRDefault="00000000">
      <w:pPr>
        <w:numPr>
          <w:ilvl w:val="0"/>
          <w:numId w:val="6"/>
        </w:numPr>
        <w:spacing w:after="0" w:line="360" w:lineRule="auto"/>
        <w:rPr>
          <w:rFonts w:ascii="Arial" w:eastAsia="Arial" w:hAnsi="Arial" w:cs="Arial"/>
        </w:rPr>
      </w:pPr>
      <w:r>
        <w:rPr>
          <w:rFonts w:ascii="Arial" w:eastAsia="Arial" w:hAnsi="Arial" w:cs="Arial"/>
        </w:rPr>
        <w:t>Wash hands</w:t>
      </w:r>
    </w:p>
    <w:p w14:paraId="0000006E" w14:textId="77777777" w:rsidR="00EE093A" w:rsidRDefault="00000000">
      <w:pPr>
        <w:numPr>
          <w:ilvl w:val="0"/>
          <w:numId w:val="6"/>
        </w:numPr>
        <w:spacing w:after="0" w:line="360" w:lineRule="auto"/>
        <w:rPr>
          <w:rFonts w:ascii="Arial" w:eastAsia="Arial" w:hAnsi="Arial" w:cs="Arial"/>
        </w:rPr>
      </w:pPr>
      <w:r>
        <w:rPr>
          <w:rFonts w:ascii="Arial" w:eastAsia="Arial" w:hAnsi="Arial" w:cs="Arial"/>
        </w:rPr>
        <w:t>Put on gloves</w:t>
      </w:r>
    </w:p>
    <w:p w14:paraId="0000006F" w14:textId="77777777" w:rsidR="00EE093A" w:rsidRDefault="00000000">
      <w:pPr>
        <w:numPr>
          <w:ilvl w:val="0"/>
          <w:numId w:val="6"/>
        </w:numPr>
        <w:spacing w:after="0" w:line="360" w:lineRule="auto"/>
        <w:rPr>
          <w:rFonts w:ascii="Arial" w:eastAsia="Arial" w:hAnsi="Arial" w:cs="Arial"/>
        </w:rPr>
      </w:pPr>
      <w:r>
        <w:rPr>
          <w:rFonts w:ascii="Arial" w:eastAsia="Arial" w:hAnsi="Arial" w:cs="Arial"/>
        </w:rPr>
        <w:lastRenderedPageBreak/>
        <w:t>Hold firm pressure over the site for at least 5 minutes</w:t>
      </w:r>
    </w:p>
    <w:p w14:paraId="00000070" w14:textId="77777777" w:rsidR="00EE093A" w:rsidRDefault="00000000">
      <w:pPr>
        <w:numPr>
          <w:ilvl w:val="0"/>
          <w:numId w:val="6"/>
        </w:numPr>
        <w:spacing w:after="0" w:line="360" w:lineRule="auto"/>
        <w:rPr>
          <w:rFonts w:ascii="Arial" w:eastAsia="Arial" w:hAnsi="Arial" w:cs="Arial"/>
        </w:rPr>
      </w:pPr>
      <w:r>
        <w:rPr>
          <w:rFonts w:ascii="Arial" w:eastAsia="Arial" w:hAnsi="Arial" w:cs="Arial"/>
        </w:rPr>
        <w:t>Apply antibacterial ointment and cover it with gauze and tape</w:t>
      </w:r>
    </w:p>
    <w:p w14:paraId="00000071" w14:textId="20553C56" w:rsidR="00EE093A" w:rsidRDefault="00000000">
      <w:pPr>
        <w:numPr>
          <w:ilvl w:val="0"/>
          <w:numId w:val="6"/>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Call parents/</w:t>
      </w:r>
      <w:r>
        <w:rPr>
          <w:rFonts w:ascii="Arial" w:eastAsia="Arial" w:hAnsi="Arial" w:cs="Arial"/>
          <w:color w:val="000000"/>
        </w:rPr>
        <w:t>guardian and student’s health</w:t>
      </w:r>
      <w:r w:rsidR="00F66CE3">
        <w:rPr>
          <w:rFonts w:ascii="Arial" w:eastAsia="Arial" w:hAnsi="Arial" w:cs="Arial"/>
        </w:rPr>
        <w:t>c</w:t>
      </w:r>
      <w:r>
        <w:rPr>
          <w:rFonts w:ascii="Arial" w:eastAsia="Arial" w:hAnsi="Arial" w:cs="Arial"/>
          <w:color w:val="000000"/>
        </w:rPr>
        <w:t>are provider immediatel</w:t>
      </w:r>
      <w:r>
        <w:rPr>
          <w:rFonts w:ascii="Arial" w:eastAsia="Arial" w:hAnsi="Arial" w:cs="Arial"/>
        </w:rPr>
        <w:t>y</w:t>
      </w:r>
    </w:p>
    <w:p w14:paraId="00000072" w14:textId="77777777" w:rsidR="00EE093A" w:rsidRDefault="00EE093A">
      <w:pPr>
        <w:spacing w:after="0" w:line="360" w:lineRule="auto"/>
        <w:rPr>
          <w:rFonts w:ascii="Arial" w:eastAsia="Arial" w:hAnsi="Arial" w:cs="Arial"/>
          <w:b/>
        </w:rPr>
      </w:pPr>
    </w:p>
    <w:p w14:paraId="00000073" w14:textId="77777777" w:rsidR="00EE093A" w:rsidRDefault="00000000">
      <w:pPr>
        <w:spacing w:after="0" w:line="360" w:lineRule="auto"/>
        <w:rPr>
          <w:rFonts w:ascii="Arial" w:eastAsia="Arial" w:hAnsi="Arial" w:cs="Arial"/>
          <w:b/>
        </w:rPr>
      </w:pPr>
      <w:r>
        <w:rPr>
          <w:rFonts w:ascii="Arial" w:eastAsia="Arial" w:hAnsi="Arial" w:cs="Arial"/>
          <w:b/>
        </w:rPr>
        <w:t>References:</w:t>
      </w:r>
    </w:p>
    <w:p w14:paraId="00000074" w14:textId="77777777" w:rsidR="00EE093A" w:rsidRDefault="00000000">
      <w:pPr>
        <w:spacing w:after="0" w:line="360" w:lineRule="auto"/>
        <w:ind w:left="720" w:hanging="720"/>
        <w:rPr>
          <w:rFonts w:ascii="Arial" w:eastAsia="Arial" w:hAnsi="Arial" w:cs="Arial"/>
        </w:rPr>
      </w:pPr>
      <w:r>
        <w:rPr>
          <w:rFonts w:ascii="Arial" w:eastAsia="Arial" w:hAnsi="Arial" w:cs="Arial"/>
        </w:rPr>
        <w:t xml:space="preserve">Association for Vascular Access. (2019). </w:t>
      </w:r>
      <w:r>
        <w:rPr>
          <w:rFonts w:ascii="Arial" w:eastAsia="Arial" w:hAnsi="Arial" w:cs="Arial"/>
          <w:i/>
        </w:rPr>
        <w:t>Guidance document. Standardizing the critical clinical competency of aseptic, sterile, and clean techniques with a single international standard: Aseptic non touch technique (ANTT®).</w:t>
      </w:r>
      <w:r>
        <w:rPr>
          <w:rFonts w:ascii="Arial" w:eastAsia="Arial" w:hAnsi="Arial" w:cs="Arial"/>
        </w:rPr>
        <w:t xml:space="preserve"> Retrieved August 3, 2023, from </w:t>
      </w:r>
      <w:hyperlink r:id="rId10">
        <w:r>
          <w:rPr>
            <w:rFonts w:ascii="Arial" w:eastAsia="Arial" w:hAnsi="Arial" w:cs="Arial"/>
            <w:color w:val="1155CC"/>
            <w:u w:val="single"/>
          </w:rPr>
          <w:t>https://cdn.ymaws.com/www.avainfo.org/resource/resmgr/files/position_statements/ANTT.pdf</w:t>
        </w:r>
      </w:hyperlink>
      <w:r>
        <w:rPr>
          <w:rFonts w:ascii="Arial" w:eastAsia="Arial" w:hAnsi="Arial" w:cs="Arial"/>
        </w:rPr>
        <w:t xml:space="preserve"> </w:t>
      </w:r>
    </w:p>
    <w:p w14:paraId="00000075" w14:textId="77777777" w:rsidR="00EE093A" w:rsidRDefault="00000000">
      <w:pPr>
        <w:spacing w:after="0" w:line="360" w:lineRule="auto"/>
        <w:ind w:left="720" w:hanging="720"/>
        <w:rPr>
          <w:rFonts w:ascii="Arial" w:eastAsia="Arial" w:hAnsi="Arial" w:cs="Arial"/>
        </w:rPr>
      </w:pPr>
      <w:r>
        <w:rPr>
          <w:rFonts w:ascii="Arial" w:eastAsia="Arial" w:hAnsi="Arial" w:cs="Arial"/>
        </w:rPr>
        <w:t xml:space="preserve">Infusion Nurses Society, Inc. (2021). Aseptic non touch technique (ANTT®). In </w:t>
      </w:r>
      <w:r>
        <w:rPr>
          <w:rFonts w:ascii="Arial" w:eastAsia="Arial" w:hAnsi="Arial" w:cs="Arial"/>
          <w:i/>
        </w:rPr>
        <w:t>Policies and procedures for infusion therapy: Home infusion.</w:t>
      </w:r>
      <w:r>
        <w:rPr>
          <w:rFonts w:ascii="Arial" w:eastAsia="Arial" w:hAnsi="Arial" w:cs="Arial"/>
        </w:rPr>
        <w:t xml:space="preserve"> (2nd Ed.). (pp. 42-44).</w:t>
      </w:r>
    </w:p>
    <w:p w14:paraId="00000076" w14:textId="77777777" w:rsidR="00EE093A" w:rsidRDefault="00000000">
      <w:pPr>
        <w:spacing w:after="0" w:line="360" w:lineRule="auto"/>
        <w:ind w:left="720" w:hanging="720"/>
        <w:rPr>
          <w:rFonts w:ascii="Arial" w:eastAsia="Arial" w:hAnsi="Arial" w:cs="Arial"/>
        </w:rPr>
      </w:pPr>
      <w:r>
        <w:rPr>
          <w:rFonts w:ascii="Arial" w:eastAsia="Arial" w:hAnsi="Arial" w:cs="Arial"/>
        </w:rPr>
        <w:t xml:space="preserve">Infusion Nurses Society, Inc. (2021). Vascular access device assessment, care, and dressing changes. In </w:t>
      </w:r>
      <w:r>
        <w:rPr>
          <w:rFonts w:ascii="Arial" w:eastAsia="Arial" w:hAnsi="Arial" w:cs="Arial"/>
          <w:i/>
        </w:rPr>
        <w:t>Policies and procedures for infusion therapy: Home infusion.</w:t>
      </w:r>
      <w:r>
        <w:rPr>
          <w:rFonts w:ascii="Arial" w:eastAsia="Arial" w:hAnsi="Arial" w:cs="Arial"/>
        </w:rPr>
        <w:t xml:space="preserve"> (2nd Ed.). (pp. 131-138).  </w:t>
      </w:r>
    </w:p>
    <w:p w14:paraId="00000077" w14:textId="77777777" w:rsidR="00EE093A" w:rsidRDefault="00000000">
      <w:pPr>
        <w:spacing w:after="0" w:line="360" w:lineRule="auto"/>
        <w:ind w:left="720"/>
        <w:rPr>
          <w:rFonts w:ascii="Arial" w:eastAsia="Arial" w:hAnsi="Arial" w:cs="Arial"/>
        </w:rPr>
      </w:pPr>
      <w:r>
        <w:rPr>
          <w:rFonts w:ascii="Arial" w:eastAsia="Arial" w:hAnsi="Arial" w:cs="Arial"/>
        </w:rPr>
        <w:t xml:space="preserve">Intravenous infusion treatment.  Missouri Code of State Regulations. Rules of department of commerce and insurance. Division 2200–State board of nursing chapter 6–administration. (2019). Retrieved June 20, 2023, from </w:t>
      </w:r>
      <w:hyperlink r:id="rId11">
        <w:r>
          <w:rPr>
            <w:rFonts w:ascii="Arial" w:eastAsia="Arial" w:hAnsi="Arial" w:cs="Arial"/>
            <w:color w:val="1155CC"/>
            <w:u w:val="single"/>
          </w:rPr>
          <w:t>https://www.sos.mo.gov/cmsimages/adrules/csr/current/20csr/20c2200-6.pdf</w:t>
        </w:r>
      </w:hyperlink>
      <w:r>
        <w:rPr>
          <w:rFonts w:ascii="Arial" w:eastAsia="Arial" w:hAnsi="Arial" w:cs="Arial"/>
        </w:rPr>
        <w:t xml:space="preserve"> </w:t>
      </w:r>
    </w:p>
    <w:p w14:paraId="00000078" w14:textId="77777777" w:rsidR="00EE093A" w:rsidRDefault="00000000">
      <w:pPr>
        <w:spacing w:after="0" w:line="360" w:lineRule="auto"/>
        <w:ind w:left="720" w:hanging="720"/>
        <w:rPr>
          <w:rFonts w:ascii="Arial" w:eastAsia="Arial" w:hAnsi="Arial" w:cs="Arial"/>
        </w:rPr>
      </w:pPr>
      <w:r>
        <w:rPr>
          <w:rFonts w:ascii="Arial" w:eastAsia="Arial" w:hAnsi="Arial" w:cs="Arial"/>
        </w:rPr>
        <w:t xml:space="preserve">Lynn, P. (2019). Changing the dressing and flushing central venous access device. In </w:t>
      </w:r>
      <w:r>
        <w:rPr>
          <w:rFonts w:ascii="Arial" w:eastAsia="Arial" w:hAnsi="Arial" w:cs="Arial"/>
          <w:i/>
        </w:rPr>
        <w:t>Skill checklists for Taylor’s clinical nursing skills. A nursing process approach</w:t>
      </w:r>
      <w:r>
        <w:rPr>
          <w:rFonts w:ascii="Arial" w:eastAsia="Arial" w:hAnsi="Arial" w:cs="Arial"/>
        </w:rPr>
        <w:t xml:space="preserve">. (5th ed.). (pp. 355-357). </w:t>
      </w:r>
    </w:p>
    <w:p w14:paraId="00000079" w14:textId="77777777" w:rsidR="00EE093A" w:rsidRDefault="00000000">
      <w:pPr>
        <w:spacing w:after="0" w:line="360" w:lineRule="auto"/>
        <w:ind w:left="720" w:hanging="720"/>
        <w:rPr>
          <w:rFonts w:ascii="Arial" w:eastAsia="Arial" w:hAnsi="Arial" w:cs="Arial"/>
          <w:color w:val="212121"/>
          <w:highlight w:val="white"/>
        </w:rPr>
      </w:pPr>
      <w:r>
        <w:rPr>
          <w:rFonts w:ascii="Arial" w:eastAsia="Arial" w:hAnsi="Arial" w:cs="Arial"/>
          <w:color w:val="212121"/>
          <w:highlight w:val="white"/>
        </w:rPr>
        <w:t xml:space="preserve">O'Grady, N. P., Alexander, M., Burns, L. A., Dellinger, E. P., Garland, J., Heard, S. O., Lipsett, P. A., Masur, H., Mermel, L. A., Pearson, M. L., Raad, I. I., Randolph, A. G., Rupp, M. E., Saint, S., &amp; Healthcare Infection Control Practices Advisory Committee (HICPAC). (2011, updated 2017). </w:t>
      </w:r>
      <w:r>
        <w:rPr>
          <w:rFonts w:ascii="Arial" w:eastAsia="Arial" w:hAnsi="Arial" w:cs="Arial"/>
          <w:i/>
          <w:color w:val="212121"/>
          <w:highlight w:val="white"/>
        </w:rPr>
        <w:t>Summary of recommendations: Guidelines for the prevention of intravascular catheter-related infections</w:t>
      </w:r>
      <w:r>
        <w:rPr>
          <w:rFonts w:ascii="Arial" w:eastAsia="Arial" w:hAnsi="Arial" w:cs="Arial"/>
          <w:color w:val="212121"/>
          <w:highlight w:val="white"/>
        </w:rPr>
        <w:t xml:space="preserve">. Retrieved June 9, 2023, from </w:t>
      </w:r>
      <w:hyperlink r:id="rId12">
        <w:r>
          <w:rPr>
            <w:rFonts w:ascii="Arial" w:eastAsia="Arial" w:hAnsi="Arial" w:cs="Arial"/>
            <w:color w:val="1155CC"/>
            <w:highlight w:val="white"/>
            <w:u w:val="single"/>
          </w:rPr>
          <w:t>https://www.cdc.gov/infectioncontrol/pdf/guidelines/bsi-guidelines-H.pdf</w:t>
        </w:r>
      </w:hyperlink>
      <w:r>
        <w:rPr>
          <w:rFonts w:ascii="Arial" w:eastAsia="Arial" w:hAnsi="Arial" w:cs="Arial"/>
          <w:color w:val="212121"/>
          <w:highlight w:val="white"/>
        </w:rPr>
        <w:t xml:space="preserve"> </w:t>
      </w:r>
    </w:p>
    <w:p w14:paraId="0000007A" w14:textId="77777777" w:rsidR="00EE093A" w:rsidRDefault="00000000">
      <w:pPr>
        <w:spacing w:after="0" w:line="360" w:lineRule="auto"/>
        <w:ind w:left="720" w:hanging="720"/>
        <w:rPr>
          <w:rFonts w:ascii="Arial" w:eastAsia="Arial" w:hAnsi="Arial" w:cs="Arial"/>
          <w:color w:val="212121"/>
        </w:rPr>
      </w:pPr>
      <w:r>
        <w:rPr>
          <w:rFonts w:ascii="Arial" w:eastAsia="Arial" w:hAnsi="Arial" w:cs="Arial"/>
          <w:color w:val="212121"/>
          <w:highlight w:val="white"/>
        </w:rPr>
        <w:t>Pediatric Home Services. (2015).</w:t>
      </w:r>
      <w:r>
        <w:rPr>
          <w:rFonts w:ascii="Arial" w:eastAsia="Arial" w:hAnsi="Arial" w:cs="Arial"/>
          <w:i/>
          <w:color w:val="212121"/>
          <w:highlight w:val="white"/>
        </w:rPr>
        <w:t xml:space="preserve"> Bandage change on a central IV catheter (Cambio del apósito para el catéter intravenoso central). </w:t>
      </w:r>
      <w:r>
        <w:rPr>
          <w:rFonts w:ascii="Arial" w:eastAsia="Arial" w:hAnsi="Arial" w:cs="Arial"/>
          <w:color w:val="212121"/>
          <w:highlight w:val="white"/>
        </w:rPr>
        <w:t xml:space="preserve">[video]. Accessed June 9, 2023, from </w:t>
      </w:r>
      <w:hyperlink r:id="rId13">
        <w:r>
          <w:rPr>
            <w:rFonts w:ascii="Arial" w:eastAsia="Arial" w:hAnsi="Arial" w:cs="Arial"/>
            <w:color w:val="1155CC"/>
            <w:highlight w:val="white"/>
            <w:u w:val="single"/>
          </w:rPr>
          <w:t>https://www.pediatrichomeservice.com/tips-how-tos/bandage-change-on-a-central-iv-catheter/?play=1</w:t>
        </w:r>
      </w:hyperlink>
      <w:r>
        <w:rPr>
          <w:rFonts w:ascii="Arial" w:eastAsia="Arial" w:hAnsi="Arial" w:cs="Arial"/>
          <w:color w:val="212121"/>
          <w:highlight w:val="white"/>
        </w:rPr>
        <w:t xml:space="preserve"> </w:t>
      </w:r>
    </w:p>
    <w:p w14:paraId="0000007C" w14:textId="60BCDDE0" w:rsidR="00EE093A" w:rsidRDefault="00000000">
      <w:pPr>
        <w:spacing w:after="0" w:line="360" w:lineRule="auto"/>
        <w:ind w:left="720" w:hanging="720"/>
        <w:rPr>
          <w:rFonts w:ascii="Arial" w:eastAsia="Arial" w:hAnsi="Arial" w:cs="Arial"/>
          <w:color w:val="212121"/>
          <w:highlight w:val="white"/>
        </w:rPr>
      </w:pPr>
      <w:r>
        <w:rPr>
          <w:rFonts w:ascii="Arial" w:eastAsia="Arial" w:hAnsi="Arial" w:cs="Arial"/>
        </w:rPr>
        <w:t xml:space="preserve">Perry, A. G., Potter, P.A., Ostendorf, W., &amp; Laplante, N. (2021). Managing central venous access devices. In </w:t>
      </w:r>
      <w:r>
        <w:rPr>
          <w:rFonts w:ascii="Arial" w:eastAsia="Arial" w:hAnsi="Arial" w:cs="Arial"/>
          <w:i/>
        </w:rPr>
        <w:t xml:space="preserve">Clinical nursing skills and techniques. </w:t>
      </w:r>
      <w:r>
        <w:rPr>
          <w:rFonts w:ascii="Arial" w:eastAsia="Arial" w:hAnsi="Arial" w:cs="Arial"/>
        </w:rPr>
        <w:t>(10th ed.). (pp. 887-900). St. Louis, MO: Elsevier.</w:t>
      </w:r>
    </w:p>
    <w:sectPr w:rsidR="00EE093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81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73836" w14:textId="77777777" w:rsidR="00C239F8" w:rsidRDefault="00C239F8">
      <w:pPr>
        <w:spacing w:after="0" w:line="240" w:lineRule="auto"/>
      </w:pPr>
      <w:r>
        <w:separator/>
      </w:r>
    </w:p>
  </w:endnote>
  <w:endnote w:type="continuationSeparator" w:id="0">
    <w:p w14:paraId="588C96D4" w14:textId="77777777" w:rsidR="00C239F8" w:rsidRDefault="00C2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C5864B2-23C3-41AD-A752-824FC19096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58931A-9C9A-4937-AB62-2D19EE94DE6A}"/>
    <w:embedBold r:id="rId3" w:fontKey="{647E71A0-7D12-4DBC-88D2-C320D062EB6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DE259B4-6E68-43B0-8F2B-F7C8A9302273}"/>
  </w:font>
  <w:font w:name="Georgia">
    <w:panose1 w:val="02040502050405020303"/>
    <w:charset w:val="00"/>
    <w:family w:val="roman"/>
    <w:pitch w:val="variable"/>
    <w:sig w:usb0="00000287" w:usb1="00000000" w:usb2="00000000" w:usb3="00000000" w:csb0="0000009F" w:csb1="00000000"/>
    <w:embedRegular r:id="rId5" w:fontKey="{F57F4B42-B0C1-4AEF-BB23-C1FFBBB50A5B}"/>
    <w:embedItalic r:id="rId6" w:fontKey="{9058E3EE-41D1-4BD0-8EBC-ED179A2572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3E928F6-B921-4FF1-9E29-1B978CF72D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078A" w14:textId="77777777" w:rsidR="00644232" w:rsidRDefault="006442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47E3AC00" w:rsidR="00EE093A" w:rsidRDefault="00000000">
    <w:pPr>
      <w:pBdr>
        <w:top w:val="nil"/>
        <w:left w:val="nil"/>
        <w:bottom w:val="nil"/>
        <w:right w:val="nil"/>
        <w:between w:val="nil"/>
      </w:pBdr>
      <w:tabs>
        <w:tab w:val="center" w:pos="4680"/>
        <w:tab w:val="right" w:pos="9360"/>
      </w:tabs>
      <w:spacing w:after="0" w:line="240" w:lineRule="auto"/>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E34B3F">
      <w:rPr>
        <w:noProof/>
        <w:color w:val="000000"/>
      </w:rPr>
      <w:t>1</w:t>
    </w:r>
    <w:r>
      <w:rPr>
        <w:color w:val="000000"/>
      </w:rPr>
      <w:fldChar w:fldCharType="end"/>
    </w:r>
    <w:r>
      <w:rPr>
        <w:b/>
        <w:color w:val="000000"/>
      </w:rPr>
      <w:tab/>
    </w:r>
    <w:r>
      <w:rPr>
        <w:b/>
        <w:color w:val="000000"/>
      </w:rPr>
      <w:tab/>
      <w:t>202</w:t>
    </w:r>
    <w:r w:rsidR="00644232">
      <w:rPr>
        <w:b/>
        <w:color w:val="0000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2CF4" w14:textId="77777777" w:rsidR="00644232" w:rsidRDefault="00644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7566" w14:textId="77777777" w:rsidR="00C239F8" w:rsidRDefault="00C239F8">
      <w:pPr>
        <w:spacing w:after="0" w:line="240" w:lineRule="auto"/>
      </w:pPr>
      <w:r>
        <w:separator/>
      </w:r>
    </w:p>
  </w:footnote>
  <w:footnote w:type="continuationSeparator" w:id="0">
    <w:p w14:paraId="3CA741F4" w14:textId="77777777" w:rsidR="00C239F8" w:rsidRDefault="00C23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6828" w14:textId="77777777" w:rsidR="00644232" w:rsidRDefault="00644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1E7E" w14:textId="77777777" w:rsidR="00644232" w:rsidRDefault="00644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E40D" w14:textId="77777777" w:rsidR="00644232" w:rsidRDefault="00644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944"/>
    <w:multiLevelType w:val="multilevel"/>
    <w:tmpl w:val="9E1AC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864B2"/>
    <w:multiLevelType w:val="multilevel"/>
    <w:tmpl w:val="B7FA8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3713C8"/>
    <w:multiLevelType w:val="multilevel"/>
    <w:tmpl w:val="0E66E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9F7EF1"/>
    <w:multiLevelType w:val="multilevel"/>
    <w:tmpl w:val="75105EE4"/>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4" w15:restartNumberingAfterBreak="0">
    <w:nsid w:val="76D518F1"/>
    <w:multiLevelType w:val="multilevel"/>
    <w:tmpl w:val="0D2CC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DC475D"/>
    <w:multiLevelType w:val="multilevel"/>
    <w:tmpl w:val="0842244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4243310">
    <w:abstractNumId w:val="2"/>
  </w:num>
  <w:num w:numId="2" w16cid:durableId="1472207508">
    <w:abstractNumId w:val="5"/>
  </w:num>
  <w:num w:numId="3" w16cid:durableId="1492872532">
    <w:abstractNumId w:val="3"/>
  </w:num>
  <w:num w:numId="4" w16cid:durableId="932973336">
    <w:abstractNumId w:val="4"/>
  </w:num>
  <w:num w:numId="5" w16cid:durableId="796801211">
    <w:abstractNumId w:val="1"/>
  </w:num>
  <w:num w:numId="6" w16cid:durableId="55712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93A"/>
    <w:rsid w:val="00161A69"/>
    <w:rsid w:val="001912FE"/>
    <w:rsid w:val="00644232"/>
    <w:rsid w:val="007B237A"/>
    <w:rsid w:val="00C239F8"/>
    <w:rsid w:val="00E34B3F"/>
    <w:rsid w:val="00EE093A"/>
    <w:rsid w:val="00F6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A72FF"/>
  <w15:docId w15:val="{D9EFF2C7-700A-4455-83DB-3D0A3F78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B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05B97"/>
    <w:pPr>
      <w:ind w:left="720"/>
      <w:contextualSpacing/>
    </w:pPr>
  </w:style>
  <w:style w:type="character" w:styleId="Hyperlink">
    <w:name w:val="Hyperlink"/>
    <w:basedOn w:val="DefaultParagraphFont"/>
    <w:uiPriority w:val="99"/>
    <w:unhideWhenUsed/>
    <w:rsid w:val="001B7159"/>
    <w:rPr>
      <w:color w:val="0000FF" w:themeColor="hyperlink"/>
      <w:u w:val="single"/>
    </w:rPr>
  </w:style>
  <w:style w:type="paragraph" w:styleId="Header">
    <w:name w:val="header"/>
    <w:basedOn w:val="Normal"/>
    <w:link w:val="HeaderChar"/>
    <w:uiPriority w:val="99"/>
    <w:unhideWhenUsed/>
    <w:rsid w:val="00302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594"/>
  </w:style>
  <w:style w:type="paragraph" w:styleId="Footer">
    <w:name w:val="footer"/>
    <w:basedOn w:val="Normal"/>
    <w:link w:val="FooterChar"/>
    <w:uiPriority w:val="99"/>
    <w:unhideWhenUsed/>
    <w:rsid w:val="00302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594"/>
  </w:style>
  <w:style w:type="paragraph" w:customStyle="1" w:styleId="Default">
    <w:name w:val="Default"/>
    <w:rsid w:val="00B31C09"/>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9A01BF"/>
    <w:rPr>
      <w:sz w:val="16"/>
      <w:szCs w:val="16"/>
    </w:rPr>
  </w:style>
  <w:style w:type="paragraph" w:styleId="CommentText">
    <w:name w:val="annotation text"/>
    <w:basedOn w:val="Normal"/>
    <w:link w:val="CommentTextChar"/>
    <w:uiPriority w:val="99"/>
    <w:unhideWhenUsed/>
    <w:rsid w:val="009A01BF"/>
    <w:pPr>
      <w:spacing w:line="240" w:lineRule="auto"/>
    </w:pPr>
    <w:rPr>
      <w:sz w:val="20"/>
      <w:szCs w:val="20"/>
    </w:rPr>
  </w:style>
  <w:style w:type="character" w:customStyle="1" w:styleId="CommentTextChar">
    <w:name w:val="Comment Text Char"/>
    <w:basedOn w:val="DefaultParagraphFont"/>
    <w:link w:val="CommentText"/>
    <w:uiPriority w:val="99"/>
    <w:rsid w:val="009A01BF"/>
    <w:rPr>
      <w:sz w:val="20"/>
      <w:szCs w:val="20"/>
    </w:rPr>
  </w:style>
  <w:style w:type="paragraph" w:styleId="CommentSubject">
    <w:name w:val="annotation subject"/>
    <w:basedOn w:val="CommentText"/>
    <w:next w:val="CommentText"/>
    <w:link w:val="CommentSubjectChar"/>
    <w:uiPriority w:val="99"/>
    <w:semiHidden/>
    <w:unhideWhenUsed/>
    <w:rsid w:val="009A01BF"/>
    <w:rPr>
      <w:b/>
      <w:bCs/>
    </w:rPr>
  </w:style>
  <w:style w:type="character" w:customStyle="1" w:styleId="CommentSubjectChar">
    <w:name w:val="Comment Subject Char"/>
    <w:basedOn w:val="CommentTextChar"/>
    <w:link w:val="CommentSubject"/>
    <w:uiPriority w:val="99"/>
    <w:semiHidden/>
    <w:rsid w:val="009A01BF"/>
    <w:rPr>
      <w:b/>
      <w:bCs/>
      <w:sz w:val="20"/>
      <w:szCs w:val="20"/>
    </w:rPr>
  </w:style>
  <w:style w:type="paragraph" w:styleId="BalloonText">
    <w:name w:val="Balloon Text"/>
    <w:basedOn w:val="Normal"/>
    <w:link w:val="BalloonTextChar"/>
    <w:uiPriority w:val="99"/>
    <w:semiHidden/>
    <w:unhideWhenUsed/>
    <w:rsid w:val="009A0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1BF"/>
    <w:rPr>
      <w:rFonts w:ascii="Tahoma" w:hAnsi="Tahoma" w:cs="Tahoma"/>
      <w:sz w:val="16"/>
      <w:szCs w:val="16"/>
    </w:rPr>
  </w:style>
  <w:style w:type="paragraph" w:styleId="Revision">
    <w:name w:val="Revision"/>
    <w:hidden/>
    <w:uiPriority w:val="99"/>
    <w:semiHidden/>
    <w:rsid w:val="006047AF"/>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dn.ymaws.com/www.avainfo.org/resource/resmgr/files/position_statements/ANTT.pdf" TargetMode="External"/><Relationship Id="rId13" Type="http://schemas.openxmlformats.org/officeDocument/2006/relationships/hyperlink" Target="https://www.pediatrichomeservice.com/tips-how-tos/bandage-change-on-a-central-iv-catheter/?play=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c.gov/infectioncontrol/pdf/guidelines/bsi-guidelines-H.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s.mo.gov/cmsimages/adrules/csr/current/20csr/20c2200-6.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dn.ymaws.com/www.avainfo.org/resource/resmgr/files/position_statements/ANTT.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dn.ymaws.com/www.avainfo.org/resource/resmgr/files/position_statements/ANTT.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oMCsO+4kvUJ3ois4Fdcgy7GuZQ==">CgMxLjA4AHIhMWotcUFkb1RzRnhzbXBwTlBZV1lZSWt3VkZFaEx0c0Nf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4</cp:revision>
  <dcterms:created xsi:type="dcterms:W3CDTF">2025-03-04T19:01:00Z</dcterms:created>
  <dcterms:modified xsi:type="dcterms:W3CDTF">2025-03-04T19:04:00Z</dcterms:modified>
</cp:coreProperties>
</file>