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7711A" w:rsidRDefault="00000000">
      <w:pPr>
        <w:spacing w:line="360" w:lineRule="auto"/>
        <w:rPr>
          <w:rFonts w:ascii="Arial" w:eastAsia="Arial" w:hAnsi="Arial" w:cs="Arial"/>
          <w:b/>
          <w:sz w:val="22"/>
          <w:szCs w:val="22"/>
        </w:rPr>
      </w:pPr>
      <w:r>
        <w:rPr>
          <w:rFonts w:ascii="Arial" w:eastAsia="Arial" w:hAnsi="Arial" w:cs="Arial"/>
          <w:b/>
          <w:sz w:val="22"/>
          <w:szCs w:val="22"/>
        </w:rPr>
        <w:t>Severe Allergic Reaction (Anaphylaxis) Medication Administration</w:t>
      </w:r>
    </w:p>
    <w:p w14:paraId="00000002" w14:textId="77777777" w:rsidR="0097711A" w:rsidRDefault="00000000">
      <w:pPr>
        <w:spacing w:line="360" w:lineRule="auto"/>
        <w:rPr>
          <w:rFonts w:ascii="Arial" w:eastAsia="Arial" w:hAnsi="Arial" w:cs="Arial"/>
          <w:b/>
          <w:sz w:val="22"/>
          <w:szCs w:val="22"/>
        </w:rPr>
      </w:pPr>
      <w:r>
        <w:rPr>
          <w:rFonts w:ascii="Arial" w:eastAsia="Arial" w:hAnsi="Arial" w:cs="Arial"/>
          <w:b/>
          <w:sz w:val="22"/>
          <w:szCs w:val="22"/>
        </w:rPr>
        <w:t>Epinephrine Auto-Injector</w:t>
      </w:r>
    </w:p>
    <w:p w14:paraId="00000003" w14:textId="77777777" w:rsidR="0097711A" w:rsidRDefault="00000000">
      <w:pPr>
        <w:spacing w:line="360" w:lineRule="auto"/>
        <w:rPr>
          <w:rFonts w:ascii="Arial" w:eastAsia="Arial" w:hAnsi="Arial" w:cs="Arial"/>
          <w:b/>
          <w:sz w:val="22"/>
          <w:szCs w:val="22"/>
        </w:rPr>
      </w:pPr>
      <w:r>
        <w:rPr>
          <w:rFonts w:ascii="Arial" w:eastAsia="Arial" w:hAnsi="Arial" w:cs="Arial"/>
          <w:b/>
          <w:sz w:val="22"/>
          <w:szCs w:val="22"/>
        </w:rPr>
        <w:t>SYMJEPI®</w:t>
      </w:r>
    </w:p>
    <w:p w14:paraId="00000004" w14:textId="77777777" w:rsidR="0097711A" w:rsidRDefault="0097711A">
      <w:pPr>
        <w:spacing w:line="360" w:lineRule="auto"/>
        <w:rPr>
          <w:rFonts w:ascii="Arial" w:eastAsia="Arial" w:hAnsi="Arial" w:cs="Arial"/>
          <w:sz w:val="22"/>
          <w:szCs w:val="22"/>
        </w:rPr>
      </w:pPr>
    </w:p>
    <w:p w14:paraId="00000005" w14:textId="77777777" w:rsidR="0097711A" w:rsidRDefault="00000000">
      <w:pPr>
        <w:spacing w:line="360" w:lineRule="auto"/>
        <w:rPr>
          <w:rFonts w:ascii="Arial" w:eastAsia="Arial" w:hAnsi="Arial" w:cs="Arial"/>
          <w:sz w:val="22"/>
          <w:szCs w:val="22"/>
        </w:rPr>
      </w:pPr>
      <w:r>
        <w:rPr>
          <w:rFonts w:ascii="Arial" w:eastAsia="Arial" w:hAnsi="Arial" w:cs="Arial"/>
          <w:b/>
          <w:sz w:val="22"/>
          <w:szCs w:val="22"/>
        </w:rPr>
        <w:t xml:space="preserve">Pursuant to </w:t>
      </w:r>
      <w:r>
        <w:rPr>
          <w:rFonts w:ascii="Arial" w:eastAsia="Arial" w:hAnsi="Arial" w:cs="Arial"/>
          <w:sz w:val="22"/>
          <w:szCs w:val="22"/>
        </w:rPr>
        <w:t>§</w:t>
      </w:r>
      <w:r>
        <w:rPr>
          <w:rFonts w:ascii="Arial" w:eastAsia="Arial" w:hAnsi="Arial" w:cs="Arial"/>
          <w:b/>
          <w:sz w:val="22"/>
          <w:szCs w:val="22"/>
        </w:rPr>
        <w:t xml:space="preserve">167.627 RSMo. Possession and self-administration of medication in school — requirements. </w:t>
      </w:r>
      <w:r>
        <w:rPr>
          <w:rFonts w:ascii="Arial" w:eastAsia="Arial" w:hAnsi="Arial" w:cs="Arial"/>
          <w:sz w:val="22"/>
          <w:szCs w:val="22"/>
        </w:rPr>
        <w:t>Each board of education and its employees and agents in this state shall grant any pupil in the school authorization for the possession and self-administration of medication to treat such pupil's chronic health condition, including but not limited to asthma or anaphylaxis if:</w:t>
      </w:r>
    </w:p>
    <w:p w14:paraId="00000006" w14:textId="77777777" w:rsidR="0097711A" w:rsidRDefault="00000000">
      <w:pPr>
        <w:spacing w:line="360" w:lineRule="auto"/>
        <w:rPr>
          <w:rFonts w:ascii="Arial" w:eastAsia="Arial" w:hAnsi="Arial" w:cs="Arial"/>
          <w:sz w:val="22"/>
          <w:szCs w:val="22"/>
        </w:rPr>
      </w:pPr>
      <w:r>
        <w:rPr>
          <w:rFonts w:ascii="Arial" w:eastAsia="Arial" w:hAnsi="Arial" w:cs="Arial"/>
          <w:sz w:val="22"/>
          <w:szCs w:val="22"/>
        </w:rPr>
        <w:t>(1) A licensed physician prescribed or ordered such medication for use by the pupil and</w:t>
      </w:r>
    </w:p>
    <w:p w14:paraId="00000007" w14:textId="77777777" w:rsidR="0097711A" w:rsidRDefault="00000000">
      <w:pPr>
        <w:spacing w:line="360" w:lineRule="auto"/>
        <w:rPr>
          <w:rFonts w:ascii="Arial" w:eastAsia="Arial" w:hAnsi="Arial" w:cs="Arial"/>
          <w:sz w:val="22"/>
          <w:szCs w:val="22"/>
        </w:rPr>
      </w:pPr>
      <w:r>
        <w:rPr>
          <w:rFonts w:ascii="Arial" w:eastAsia="Arial" w:hAnsi="Arial" w:cs="Arial"/>
          <w:sz w:val="22"/>
          <w:szCs w:val="22"/>
        </w:rPr>
        <w:t>instructed such pupil in the correct and responsible use of such medication;</w:t>
      </w:r>
    </w:p>
    <w:p w14:paraId="00000008" w14:textId="77777777" w:rsidR="0097711A" w:rsidRDefault="00000000">
      <w:pPr>
        <w:spacing w:line="360" w:lineRule="auto"/>
        <w:rPr>
          <w:rFonts w:ascii="Arial" w:eastAsia="Arial" w:hAnsi="Arial" w:cs="Arial"/>
          <w:sz w:val="22"/>
          <w:szCs w:val="22"/>
        </w:rPr>
      </w:pPr>
      <w:r>
        <w:rPr>
          <w:rFonts w:ascii="Arial" w:eastAsia="Arial" w:hAnsi="Arial" w:cs="Arial"/>
          <w:sz w:val="22"/>
          <w:szCs w:val="22"/>
        </w:rPr>
        <w:t>(2) The pupil has demonstrated to the pupil's licensed physician or the licensed physician's designee, and the school nurse, if available, the skill level necessary to use the medication and any device necessary to administer such medication prescribed or ordered;</w:t>
      </w:r>
    </w:p>
    <w:p w14:paraId="00000009" w14:textId="77777777" w:rsidR="0097711A" w:rsidRDefault="00000000">
      <w:pPr>
        <w:spacing w:line="360" w:lineRule="auto"/>
        <w:rPr>
          <w:rFonts w:ascii="Arial" w:eastAsia="Arial" w:hAnsi="Arial" w:cs="Arial"/>
          <w:sz w:val="22"/>
          <w:szCs w:val="22"/>
        </w:rPr>
      </w:pPr>
      <w:r>
        <w:rPr>
          <w:rFonts w:ascii="Arial" w:eastAsia="Arial" w:hAnsi="Arial" w:cs="Arial"/>
          <w:sz w:val="22"/>
          <w:szCs w:val="22"/>
        </w:rPr>
        <w:t>(3) The pupil's physician has approved and signed a written treatment plan for managing the pupil's chronic health condition, including asthma or anaphylaxis episodes and for medication for use by the pupil. Such plan shall include a statement that the pupil is capable of self-administering the medication under the treatment plan;</w:t>
      </w:r>
    </w:p>
    <w:p w14:paraId="0000000A" w14:textId="77777777" w:rsidR="0097711A" w:rsidRDefault="00000000">
      <w:pPr>
        <w:spacing w:line="360" w:lineRule="auto"/>
        <w:rPr>
          <w:rFonts w:ascii="Arial" w:eastAsia="Arial" w:hAnsi="Arial" w:cs="Arial"/>
          <w:sz w:val="22"/>
          <w:szCs w:val="22"/>
        </w:rPr>
      </w:pPr>
      <w:r>
        <w:rPr>
          <w:rFonts w:ascii="Arial" w:eastAsia="Arial" w:hAnsi="Arial" w:cs="Arial"/>
          <w:sz w:val="22"/>
          <w:szCs w:val="22"/>
        </w:rPr>
        <w:t>(4) The pupil's parent or guardian has completed and submitted to the school any written</w:t>
      </w:r>
    </w:p>
    <w:p w14:paraId="0000000B" w14:textId="77777777" w:rsidR="0097711A" w:rsidRDefault="00000000">
      <w:pPr>
        <w:spacing w:line="360" w:lineRule="auto"/>
        <w:rPr>
          <w:rFonts w:ascii="Arial" w:eastAsia="Arial" w:hAnsi="Arial" w:cs="Arial"/>
          <w:sz w:val="22"/>
          <w:szCs w:val="22"/>
        </w:rPr>
      </w:pPr>
      <w:r>
        <w:rPr>
          <w:rFonts w:ascii="Arial" w:eastAsia="Arial" w:hAnsi="Arial" w:cs="Arial"/>
          <w:sz w:val="22"/>
          <w:szCs w:val="22"/>
        </w:rPr>
        <w:t>documentation required by the school, including the treatment plan required under subdivision (3) of this subsection and the liability statement required under subdivision (5) of this subsection; and (5) The pupil's parent or guardian has signed a statement acknowledging that the school district and its employees or agents shall incur no liability as a result of any injury arising from the self-administration of medication by the pupil or the administration of such medication by school staff. Such statement shall not be construed to release the school district and its employees or agents from liability for negligence.</w:t>
      </w:r>
    </w:p>
    <w:p w14:paraId="0000000C" w14:textId="77777777" w:rsidR="0097711A" w:rsidRDefault="00000000">
      <w:pPr>
        <w:spacing w:line="360" w:lineRule="auto"/>
        <w:rPr>
          <w:rFonts w:ascii="Arial" w:eastAsia="Arial" w:hAnsi="Arial" w:cs="Arial"/>
          <w:sz w:val="22"/>
          <w:szCs w:val="22"/>
        </w:rPr>
      </w:pPr>
      <w:r>
        <w:rPr>
          <w:rFonts w:ascii="Arial" w:eastAsia="Arial" w:hAnsi="Arial" w:cs="Arial"/>
          <w:sz w:val="22"/>
          <w:szCs w:val="22"/>
        </w:rPr>
        <w:t>3. An authorization granted under subsection 2 of this section shall:</w:t>
      </w:r>
    </w:p>
    <w:p w14:paraId="0000000D" w14:textId="77777777" w:rsidR="0097711A" w:rsidRDefault="00000000">
      <w:pPr>
        <w:spacing w:line="360" w:lineRule="auto"/>
        <w:rPr>
          <w:rFonts w:ascii="Arial" w:eastAsia="Arial" w:hAnsi="Arial" w:cs="Arial"/>
          <w:sz w:val="22"/>
          <w:szCs w:val="22"/>
        </w:rPr>
      </w:pPr>
      <w:r>
        <w:rPr>
          <w:rFonts w:ascii="Arial" w:eastAsia="Arial" w:hAnsi="Arial" w:cs="Arial"/>
          <w:sz w:val="22"/>
          <w:szCs w:val="22"/>
        </w:rPr>
        <w:t xml:space="preserve">(1) Permit such pupil to possess and self-administer such pupil's medication while in school, at a school-sponsored activity, and in transit to or from school or school-sponsored activity; and </w:t>
      </w:r>
    </w:p>
    <w:p w14:paraId="0000000E" w14:textId="77777777" w:rsidR="0097711A" w:rsidRDefault="00000000">
      <w:pPr>
        <w:spacing w:line="360" w:lineRule="auto"/>
        <w:rPr>
          <w:rFonts w:ascii="Arial" w:eastAsia="Arial" w:hAnsi="Arial" w:cs="Arial"/>
          <w:sz w:val="22"/>
          <w:szCs w:val="22"/>
        </w:rPr>
      </w:pPr>
      <w:r>
        <w:rPr>
          <w:rFonts w:ascii="Arial" w:eastAsia="Arial" w:hAnsi="Arial" w:cs="Arial"/>
          <w:sz w:val="22"/>
          <w:szCs w:val="22"/>
        </w:rPr>
        <w:t>(2) Be effective only for the same school and school year for which it is granted. Such</w:t>
      </w:r>
    </w:p>
    <w:p w14:paraId="0000000F" w14:textId="77777777" w:rsidR="0097711A" w:rsidRDefault="00000000">
      <w:pPr>
        <w:spacing w:line="360" w:lineRule="auto"/>
        <w:rPr>
          <w:rFonts w:ascii="Arial" w:eastAsia="Arial" w:hAnsi="Arial" w:cs="Arial"/>
          <w:sz w:val="22"/>
          <w:szCs w:val="22"/>
        </w:rPr>
      </w:pPr>
      <w:r>
        <w:rPr>
          <w:rFonts w:ascii="Arial" w:eastAsia="Arial" w:hAnsi="Arial" w:cs="Arial"/>
          <w:sz w:val="22"/>
          <w:szCs w:val="22"/>
        </w:rPr>
        <w:t>authorization shall be renewed by the pupil's parent or guardian each subsequent school year in accordance with this section.</w:t>
      </w:r>
    </w:p>
    <w:p w14:paraId="00000010" w14:textId="77777777" w:rsidR="0097711A" w:rsidRDefault="00000000">
      <w:pPr>
        <w:spacing w:line="360" w:lineRule="auto"/>
        <w:rPr>
          <w:rFonts w:ascii="Arial" w:eastAsia="Arial" w:hAnsi="Arial" w:cs="Arial"/>
          <w:sz w:val="22"/>
          <w:szCs w:val="22"/>
        </w:rPr>
      </w:pPr>
      <w:r>
        <w:rPr>
          <w:rFonts w:ascii="Arial" w:eastAsia="Arial" w:hAnsi="Arial" w:cs="Arial"/>
          <w:sz w:val="22"/>
          <w:szCs w:val="22"/>
        </w:rPr>
        <w:lastRenderedPageBreak/>
        <w:t>4. Any current duplicate prescription medication, if provided by a pupil's parent or guardian or by the school, shall be kept at a pupil's school in a location at which the pupil or school staff has immediate access in the event of an asthma or anaphylaxis emergency.</w:t>
      </w:r>
    </w:p>
    <w:p w14:paraId="00000011" w14:textId="77777777" w:rsidR="0097711A" w:rsidRDefault="00000000">
      <w:pPr>
        <w:spacing w:line="360" w:lineRule="auto"/>
        <w:rPr>
          <w:rFonts w:ascii="Arial" w:eastAsia="Arial" w:hAnsi="Arial" w:cs="Arial"/>
          <w:sz w:val="22"/>
          <w:szCs w:val="22"/>
        </w:rPr>
      </w:pPr>
      <w:r>
        <w:rPr>
          <w:rFonts w:ascii="Arial" w:eastAsia="Arial" w:hAnsi="Arial" w:cs="Arial"/>
          <w:sz w:val="22"/>
          <w:szCs w:val="22"/>
        </w:rPr>
        <w:t>5. The information described in subdivisions (3) and (4) of subsection 2 of this section shall be kept on file at the pupil's school in a location easily accessible in the event of an emergency.</w:t>
      </w:r>
    </w:p>
    <w:p w14:paraId="00000012" w14:textId="77777777" w:rsidR="0097711A" w:rsidRDefault="0097711A">
      <w:pPr>
        <w:spacing w:line="360" w:lineRule="auto"/>
        <w:rPr>
          <w:rFonts w:ascii="Arial" w:eastAsia="Arial" w:hAnsi="Arial" w:cs="Arial"/>
          <w:sz w:val="22"/>
          <w:szCs w:val="22"/>
        </w:rPr>
      </w:pPr>
    </w:p>
    <w:p w14:paraId="00000013" w14:textId="77777777" w:rsidR="0097711A" w:rsidRDefault="00000000">
      <w:pPr>
        <w:spacing w:before="120" w:after="240" w:line="360" w:lineRule="auto"/>
        <w:ind w:right="120"/>
        <w:rPr>
          <w:rFonts w:ascii="Arial" w:eastAsia="Arial" w:hAnsi="Arial" w:cs="Arial"/>
          <w:b/>
          <w:sz w:val="22"/>
          <w:szCs w:val="22"/>
        </w:rPr>
      </w:pPr>
      <w:r>
        <w:rPr>
          <w:rFonts w:ascii="Arial" w:eastAsia="Arial" w:hAnsi="Arial" w:cs="Arial"/>
          <w:b/>
          <w:sz w:val="22"/>
          <w:szCs w:val="22"/>
        </w:rPr>
        <w:t>Pursuant to 167.630.</w:t>
      </w:r>
      <w:r>
        <w:rPr>
          <w:rFonts w:ascii="Arial" w:eastAsia="Arial" w:hAnsi="Arial" w:cs="Arial"/>
          <w:sz w:val="22"/>
          <w:szCs w:val="22"/>
        </w:rPr>
        <w:t xml:space="preserve">  </w:t>
      </w:r>
      <w:r>
        <w:rPr>
          <w:rFonts w:ascii="Arial" w:eastAsia="Arial" w:hAnsi="Arial" w:cs="Arial"/>
          <w:b/>
          <w:sz w:val="22"/>
          <w:szCs w:val="22"/>
        </w:rPr>
        <w:t xml:space="preserve">Epinephrine prefilled auto syringes, school nurse authorized to maintain adequate supply — administration authorized, when. — </w:t>
      </w:r>
    </w:p>
    <w:p w14:paraId="00000014" w14:textId="77777777" w:rsidR="0097711A" w:rsidRDefault="00000000">
      <w:pPr>
        <w:spacing w:before="120" w:after="240" w:line="360" w:lineRule="auto"/>
        <w:ind w:right="120"/>
        <w:rPr>
          <w:rFonts w:ascii="Arial" w:eastAsia="Arial" w:hAnsi="Arial" w:cs="Arial"/>
          <w:sz w:val="22"/>
          <w:szCs w:val="22"/>
        </w:rPr>
      </w:pPr>
      <w:r>
        <w:rPr>
          <w:rFonts w:ascii="Arial" w:eastAsia="Arial" w:hAnsi="Arial" w:cs="Arial"/>
          <w:sz w:val="22"/>
          <w:szCs w:val="22"/>
        </w:rPr>
        <w:t xml:space="preserve">1.  Each school board may authorize a school nurse licensed under </w:t>
      </w:r>
      <w:hyperlink r:id="rId8">
        <w:r>
          <w:rPr>
            <w:rFonts w:ascii="Arial" w:eastAsia="Arial" w:hAnsi="Arial" w:cs="Arial"/>
            <w:color w:val="000080"/>
            <w:sz w:val="22"/>
            <w:szCs w:val="22"/>
          </w:rPr>
          <w:t>chapter 335</w:t>
        </w:r>
      </w:hyperlink>
      <w:r>
        <w:rPr>
          <w:rFonts w:ascii="Arial" w:eastAsia="Arial" w:hAnsi="Arial" w:cs="Arial"/>
          <w:sz w:val="22"/>
          <w:szCs w:val="22"/>
        </w:rPr>
        <w:t xml:space="preserve"> who is employed by the school district and for whom the board is responsible for to maintain an adequate supply of prefilled auto syringes of epinephrine with fifteen-hundredths milligram or three-tenths milligram delivery at the school.  The nurse shall recommend to the school board the number of prefilled epinephrine auto syringes that the school should maintain.</w:t>
      </w:r>
    </w:p>
    <w:p w14:paraId="00000015" w14:textId="77777777" w:rsidR="0097711A" w:rsidRDefault="00000000">
      <w:pPr>
        <w:spacing w:before="120" w:after="120" w:line="360" w:lineRule="auto"/>
        <w:ind w:right="120"/>
        <w:rPr>
          <w:rFonts w:ascii="Arial" w:eastAsia="Arial" w:hAnsi="Arial" w:cs="Arial"/>
          <w:sz w:val="22"/>
          <w:szCs w:val="22"/>
        </w:rPr>
      </w:pPr>
      <w:r>
        <w:rPr>
          <w:rFonts w:ascii="Arial" w:eastAsia="Arial" w:hAnsi="Arial" w:cs="Arial"/>
          <w:sz w:val="22"/>
          <w:szCs w:val="22"/>
        </w:rPr>
        <w:t>2.  To obtain prefilled epinephrine auto syringes for a school district, a prescription written by a licensed physician, a physician's assistant, or nurse practitioner is required.  For such prescriptions, the school district shall be designated as the patient, the nurse's name shall be required, and the prescription shall be filled at a licensed pharmacy.</w:t>
      </w:r>
    </w:p>
    <w:p w14:paraId="00000016" w14:textId="77777777" w:rsidR="0097711A" w:rsidRDefault="00000000">
      <w:pPr>
        <w:spacing w:before="120" w:after="240" w:line="360" w:lineRule="auto"/>
        <w:ind w:right="120"/>
        <w:rPr>
          <w:rFonts w:ascii="Arial" w:eastAsia="Arial" w:hAnsi="Arial" w:cs="Arial"/>
          <w:sz w:val="22"/>
          <w:szCs w:val="22"/>
        </w:rPr>
      </w:pPr>
      <w:r>
        <w:rPr>
          <w:rFonts w:ascii="Arial" w:eastAsia="Arial" w:hAnsi="Arial" w:cs="Arial"/>
          <w:sz w:val="22"/>
          <w:szCs w:val="22"/>
        </w:rPr>
        <w:t xml:space="preserve">3.  A school nurse, contracted agent trained by a nurse, or other school employee trained by and supervised by the nurse shall have the discretion to use an epinephrine auto syringe on any student the school nurse, trained employee, or trained contracted agent believes is having a life-threatening anaphylactic reaction based on the training in recognizing an acute episode of an anaphylactic reaction.  The provisions of section </w:t>
      </w:r>
      <w:hyperlink r:id="rId9">
        <w:r>
          <w:rPr>
            <w:rFonts w:ascii="Arial" w:eastAsia="Arial" w:hAnsi="Arial" w:cs="Arial"/>
            <w:color w:val="000080"/>
            <w:sz w:val="22"/>
            <w:szCs w:val="22"/>
          </w:rPr>
          <w:t>167.624</w:t>
        </w:r>
      </w:hyperlink>
      <w:r>
        <w:rPr>
          <w:rFonts w:ascii="Arial" w:eastAsia="Arial" w:hAnsi="Arial" w:cs="Arial"/>
          <w:sz w:val="22"/>
          <w:szCs w:val="22"/>
        </w:rPr>
        <w:t xml:space="preserve"> concerning immunity from civil liability for trained employees administering lifesaving methods shall apply to trained employees administering a prefilled auto syringe under this section.  Trained contracted agents shall have immunity from civil liability for administering a prefilled auto syringe under this section.</w:t>
      </w:r>
    </w:p>
    <w:p w14:paraId="00000017" w14:textId="77777777" w:rsidR="0097711A" w:rsidRDefault="0097711A">
      <w:pPr>
        <w:spacing w:line="360" w:lineRule="auto"/>
        <w:rPr>
          <w:rFonts w:ascii="Arial" w:eastAsia="Arial" w:hAnsi="Arial" w:cs="Arial"/>
          <w:b/>
          <w:sz w:val="22"/>
          <w:szCs w:val="22"/>
        </w:rPr>
      </w:pPr>
    </w:p>
    <w:p w14:paraId="00000018" w14:textId="77777777" w:rsidR="0097711A" w:rsidRDefault="00000000">
      <w:pPr>
        <w:spacing w:line="360" w:lineRule="auto"/>
        <w:rPr>
          <w:rFonts w:ascii="Arial" w:eastAsia="Arial" w:hAnsi="Arial" w:cs="Arial"/>
          <w:b/>
          <w:sz w:val="22"/>
          <w:szCs w:val="22"/>
        </w:rPr>
      </w:pPr>
      <w:r>
        <w:rPr>
          <w:rFonts w:ascii="Arial" w:eastAsia="Arial" w:hAnsi="Arial" w:cs="Arial"/>
          <w:b/>
          <w:sz w:val="22"/>
          <w:szCs w:val="22"/>
        </w:rPr>
        <w:t xml:space="preserve">Considerations: </w:t>
      </w:r>
    </w:p>
    <w:p w14:paraId="00000019" w14:textId="77777777" w:rsidR="0097711A" w:rsidRDefault="00000000">
      <w:pPr>
        <w:numPr>
          <w:ilvl w:val="0"/>
          <w:numId w:val="6"/>
        </w:numPr>
        <w:spacing w:line="360" w:lineRule="auto"/>
        <w:rPr>
          <w:rFonts w:ascii="Arial" w:eastAsia="Arial" w:hAnsi="Arial" w:cs="Arial"/>
          <w:b/>
          <w:sz w:val="22"/>
          <w:szCs w:val="22"/>
        </w:rPr>
      </w:pPr>
      <w:r>
        <w:rPr>
          <w:rFonts w:ascii="Arial" w:eastAsia="Arial" w:hAnsi="Arial" w:cs="Arial"/>
          <w:b/>
          <w:sz w:val="22"/>
          <w:szCs w:val="22"/>
        </w:rPr>
        <w:t>Given that when a student is having a severe allergic reaction, it can be a stressful situation, it is highly recommended that you familiarize yourself with the student’s severe allergic reaction emergency plan beforehand.</w:t>
      </w:r>
    </w:p>
    <w:p w14:paraId="0000001A" w14:textId="77777777" w:rsidR="0097711A" w:rsidRDefault="00000000">
      <w:pPr>
        <w:numPr>
          <w:ilvl w:val="0"/>
          <w:numId w:val="6"/>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b/>
          <w:sz w:val="22"/>
          <w:szCs w:val="22"/>
        </w:rPr>
        <w:lastRenderedPageBreak/>
        <w:t>As this is an emergency situation, it is important to act quickly while ensuring everyone’s safety.</w:t>
      </w:r>
    </w:p>
    <w:p w14:paraId="0000001B" w14:textId="77777777" w:rsidR="0097711A" w:rsidRDefault="00000000">
      <w:pPr>
        <w:numPr>
          <w:ilvl w:val="0"/>
          <w:numId w:val="6"/>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Identify symptoms of a severe allergic reaction as indicated </w:t>
      </w:r>
      <w:r>
        <w:rPr>
          <w:rFonts w:ascii="Arial" w:eastAsia="Arial" w:hAnsi="Arial" w:cs="Arial"/>
          <w:sz w:val="22"/>
          <w:szCs w:val="22"/>
        </w:rPr>
        <w:t>on the Emergency</w:t>
      </w:r>
      <w:r>
        <w:rPr>
          <w:rFonts w:ascii="Arial" w:eastAsia="Arial" w:hAnsi="Arial" w:cs="Arial"/>
          <w:color w:val="000000"/>
          <w:sz w:val="22"/>
          <w:szCs w:val="22"/>
        </w:rPr>
        <w:t xml:space="preserve"> Action Plan, if possible. These may include:</w:t>
      </w:r>
    </w:p>
    <w:p w14:paraId="0000001C" w14:textId="77777777" w:rsidR="0097711A" w:rsidRDefault="00000000">
      <w:pPr>
        <w:numPr>
          <w:ilvl w:val="0"/>
          <w:numId w:val="8"/>
        </w:numPr>
        <w:pBdr>
          <w:top w:val="nil"/>
          <w:left w:val="nil"/>
          <w:bottom w:val="nil"/>
          <w:right w:val="nil"/>
          <w:between w:val="nil"/>
        </w:pBdr>
        <w:spacing w:line="360" w:lineRule="auto"/>
        <w:ind w:left="1440"/>
        <w:rPr>
          <w:rFonts w:ascii="Arial" w:eastAsia="Arial" w:hAnsi="Arial" w:cs="Arial"/>
          <w:color w:val="000000"/>
          <w:sz w:val="22"/>
          <w:szCs w:val="22"/>
        </w:rPr>
      </w:pPr>
      <w:r>
        <w:rPr>
          <w:rFonts w:ascii="Arial" w:eastAsia="Arial" w:hAnsi="Arial" w:cs="Arial"/>
          <w:color w:val="000000"/>
          <w:sz w:val="22"/>
          <w:szCs w:val="22"/>
        </w:rPr>
        <w:t xml:space="preserve">obstructive swelling of the lips, tongue, and/or throat; </w:t>
      </w:r>
    </w:p>
    <w:p w14:paraId="0000001D" w14:textId="77777777" w:rsidR="0097711A" w:rsidRDefault="00000000">
      <w:pPr>
        <w:numPr>
          <w:ilvl w:val="0"/>
          <w:numId w:val="8"/>
        </w:numPr>
        <w:pBdr>
          <w:top w:val="nil"/>
          <w:left w:val="nil"/>
          <w:bottom w:val="nil"/>
          <w:right w:val="nil"/>
          <w:between w:val="nil"/>
        </w:pBdr>
        <w:spacing w:line="360" w:lineRule="auto"/>
        <w:ind w:left="1440"/>
        <w:rPr>
          <w:rFonts w:ascii="Arial" w:eastAsia="Arial" w:hAnsi="Arial" w:cs="Arial"/>
          <w:color w:val="000000"/>
          <w:sz w:val="22"/>
          <w:szCs w:val="22"/>
        </w:rPr>
      </w:pPr>
      <w:r>
        <w:rPr>
          <w:rFonts w:ascii="Arial" w:eastAsia="Arial" w:hAnsi="Arial" w:cs="Arial"/>
          <w:color w:val="000000"/>
          <w:sz w:val="22"/>
          <w:szCs w:val="22"/>
        </w:rPr>
        <w:t xml:space="preserve">trouble swallowing; </w:t>
      </w:r>
    </w:p>
    <w:p w14:paraId="0000001E" w14:textId="77777777" w:rsidR="0097711A" w:rsidRDefault="00000000">
      <w:pPr>
        <w:numPr>
          <w:ilvl w:val="0"/>
          <w:numId w:val="8"/>
        </w:numPr>
        <w:pBdr>
          <w:top w:val="nil"/>
          <w:left w:val="nil"/>
          <w:bottom w:val="nil"/>
          <w:right w:val="nil"/>
          <w:between w:val="nil"/>
        </w:pBdr>
        <w:spacing w:line="360" w:lineRule="auto"/>
        <w:ind w:left="1440"/>
        <w:rPr>
          <w:rFonts w:ascii="Arial" w:eastAsia="Arial" w:hAnsi="Arial" w:cs="Arial"/>
          <w:color w:val="000000"/>
          <w:sz w:val="22"/>
          <w:szCs w:val="22"/>
        </w:rPr>
      </w:pPr>
      <w:r>
        <w:rPr>
          <w:rFonts w:ascii="Arial" w:eastAsia="Arial" w:hAnsi="Arial" w:cs="Arial"/>
          <w:color w:val="000000"/>
          <w:sz w:val="22"/>
          <w:szCs w:val="22"/>
        </w:rPr>
        <w:t xml:space="preserve">shortness of breath or wheezing; </w:t>
      </w:r>
    </w:p>
    <w:p w14:paraId="0000001F" w14:textId="77777777" w:rsidR="0097711A" w:rsidRDefault="00000000">
      <w:pPr>
        <w:numPr>
          <w:ilvl w:val="0"/>
          <w:numId w:val="8"/>
        </w:numPr>
        <w:pBdr>
          <w:top w:val="nil"/>
          <w:left w:val="nil"/>
          <w:bottom w:val="nil"/>
          <w:right w:val="nil"/>
          <w:between w:val="nil"/>
        </w:pBdr>
        <w:spacing w:line="360" w:lineRule="auto"/>
        <w:ind w:left="1440"/>
        <w:rPr>
          <w:rFonts w:ascii="Arial" w:eastAsia="Arial" w:hAnsi="Arial" w:cs="Arial"/>
          <w:color w:val="000000"/>
          <w:sz w:val="22"/>
          <w:szCs w:val="22"/>
        </w:rPr>
      </w:pPr>
      <w:r>
        <w:rPr>
          <w:rFonts w:ascii="Arial" w:eastAsia="Arial" w:hAnsi="Arial" w:cs="Arial"/>
          <w:color w:val="000000"/>
          <w:sz w:val="22"/>
          <w:szCs w:val="22"/>
        </w:rPr>
        <w:t xml:space="preserve">turning blue; drop in blood pressure, </w:t>
      </w:r>
    </w:p>
    <w:p w14:paraId="00000020" w14:textId="77777777" w:rsidR="0097711A" w:rsidRDefault="00000000">
      <w:pPr>
        <w:numPr>
          <w:ilvl w:val="0"/>
          <w:numId w:val="8"/>
        </w:numPr>
        <w:pBdr>
          <w:top w:val="nil"/>
          <w:left w:val="nil"/>
          <w:bottom w:val="nil"/>
          <w:right w:val="nil"/>
          <w:between w:val="nil"/>
        </w:pBdr>
        <w:spacing w:line="360" w:lineRule="auto"/>
        <w:ind w:left="1440"/>
        <w:rPr>
          <w:rFonts w:ascii="Arial" w:eastAsia="Arial" w:hAnsi="Arial" w:cs="Arial"/>
          <w:color w:val="000000"/>
          <w:sz w:val="22"/>
          <w:szCs w:val="22"/>
        </w:rPr>
      </w:pPr>
      <w:r>
        <w:rPr>
          <w:rFonts w:ascii="Arial" w:eastAsia="Arial" w:hAnsi="Arial" w:cs="Arial"/>
          <w:color w:val="000000"/>
          <w:sz w:val="22"/>
          <w:szCs w:val="22"/>
        </w:rPr>
        <w:t xml:space="preserve">feeling faint, confused, weak, </w:t>
      </w:r>
    </w:p>
    <w:p w14:paraId="00000021" w14:textId="77777777" w:rsidR="0097711A" w:rsidRDefault="00000000">
      <w:pPr>
        <w:numPr>
          <w:ilvl w:val="0"/>
          <w:numId w:val="8"/>
        </w:numPr>
        <w:pBdr>
          <w:top w:val="nil"/>
          <w:left w:val="nil"/>
          <w:bottom w:val="nil"/>
          <w:right w:val="nil"/>
          <w:between w:val="nil"/>
        </w:pBdr>
        <w:spacing w:line="360" w:lineRule="auto"/>
        <w:ind w:left="1440"/>
        <w:rPr>
          <w:rFonts w:ascii="Arial" w:eastAsia="Arial" w:hAnsi="Arial" w:cs="Arial"/>
          <w:color w:val="000000"/>
          <w:sz w:val="22"/>
          <w:szCs w:val="22"/>
        </w:rPr>
      </w:pPr>
      <w:r>
        <w:rPr>
          <w:rFonts w:ascii="Arial" w:eastAsia="Arial" w:hAnsi="Arial" w:cs="Arial"/>
          <w:color w:val="000000"/>
          <w:sz w:val="22"/>
          <w:szCs w:val="22"/>
        </w:rPr>
        <w:t xml:space="preserve">passing out; loss of consciousness; </w:t>
      </w:r>
    </w:p>
    <w:p w14:paraId="00000022" w14:textId="77777777" w:rsidR="0097711A" w:rsidRDefault="00000000">
      <w:pPr>
        <w:numPr>
          <w:ilvl w:val="0"/>
          <w:numId w:val="8"/>
        </w:numPr>
        <w:pBdr>
          <w:top w:val="nil"/>
          <w:left w:val="nil"/>
          <w:bottom w:val="nil"/>
          <w:right w:val="nil"/>
          <w:between w:val="nil"/>
        </w:pBdr>
        <w:spacing w:line="360" w:lineRule="auto"/>
        <w:ind w:left="1440"/>
        <w:rPr>
          <w:rFonts w:ascii="Arial" w:eastAsia="Arial" w:hAnsi="Arial" w:cs="Arial"/>
          <w:color w:val="000000"/>
          <w:sz w:val="22"/>
          <w:szCs w:val="22"/>
        </w:rPr>
      </w:pPr>
      <w:r>
        <w:rPr>
          <w:rFonts w:ascii="Arial" w:eastAsia="Arial" w:hAnsi="Arial" w:cs="Arial"/>
          <w:color w:val="000000"/>
          <w:sz w:val="22"/>
          <w:szCs w:val="22"/>
        </w:rPr>
        <w:t xml:space="preserve">chest pain; </w:t>
      </w:r>
    </w:p>
    <w:p w14:paraId="00000023" w14:textId="77777777" w:rsidR="0097711A" w:rsidRDefault="00000000">
      <w:pPr>
        <w:numPr>
          <w:ilvl w:val="0"/>
          <w:numId w:val="8"/>
        </w:numPr>
        <w:pBdr>
          <w:top w:val="nil"/>
          <w:left w:val="nil"/>
          <w:bottom w:val="nil"/>
          <w:right w:val="nil"/>
          <w:between w:val="nil"/>
        </w:pBdr>
        <w:spacing w:line="360" w:lineRule="auto"/>
        <w:ind w:left="1440"/>
        <w:rPr>
          <w:rFonts w:ascii="Arial" w:eastAsia="Arial" w:hAnsi="Arial" w:cs="Arial"/>
          <w:color w:val="000000"/>
          <w:sz w:val="22"/>
          <w:szCs w:val="22"/>
        </w:rPr>
      </w:pPr>
      <w:r>
        <w:rPr>
          <w:rFonts w:ascii="Arial" w:eastAsia="Arial" w:hAnsi="Arial" w:cs="Arial"/>
          <w:color w:val="000000"/>
          <w:sz w:val="22"/>
          <w:szCs w:val="22"/>
        </w:rPr>
        <w:t xml:space="preserve">a weak pulse; and/or </w:t>
      </w:r>
    </w:p>
    <w:p w14:paraId="00000024" w14:textId="77777777" w:rsidR="0097711A" w:rsidRDefault="00000000">
      <w:pPr>
        <w:numPr>
          <w:ilvl w:val="0"/>
          <w:numId w:val="8"/>
        </w:numPr>
        <w:pBdr>
          <w:top w:val="nil"/>
          <w:left w:val="nil"/>
          <w:bottom w:val="nil"/>
          <w:right w:val="nil"/>
          <w:between w:val="nil"/>
        </w:pBdr>
        <w:spacing w:line="360" w:lineRule="auto"/>
        <w:ind w:left="1440"/>
        <w:rPr>
          <w:rFonts w:ascii="Arial" w:eastAsia="Arial" w:hAnsi="Arial" w:cs="Arial"/>
          <w:color w:val="000000"/>
          <w:sz w:val="22"/>
          <w:szCs w:val="22"/>
        </w:rPr>
      </w:pPr>
      <w:r>
        <w:rPr>
          <w:rFonts w:ascii="Arial" w:eastAsia="Arial" w:hAnsi="Arial" w:cs="Arial"/>
          <w:color w:val="000000"/>
          <w:sz w:val="22"/>
          <w:szCs w:val="22"/>
        </w:rPr>
        <w:t>a sense of “impending doom”.</w:t>
      </w:r>
    </w:p>
    <w:p w14:paraId="00000025" w14:textId="77777777" w:rsidR="0097711A" w:rsidRDefault="00000000">
      <w:pPr>
        <w:numPr>
          <w:ilvl w:val="0"/>
          <w:numId w:val="7"/>
        </w:numPr>
        <w:pBdr>
          <w:top w:val="nil"/>
          <w:left w:val="nil"/>
          <w:bottom w:val="nil"/>
          <w:right w:val="nil"/>
          <w:between w:val="nil"/>
        </w:pBdr>
        <w:spacing w:line="360" w:lineRule="auto"/>
        <w:ind w:left="360"/>
        <w:rPr>
          <w:rFonts w:ascii="Arial" w:eastAsia="Arial" w:hAnsi="Arial" w:cs="Arial"/>
          <w:color w:val="000000"/>
          <w:sz w:val="22"/>
          <w:szCs w:val="22"/>
        </w:rPr>
      </w:pPr>
      <w:r>
        <w:rPr>
          <w:rFonts w:ascii="Arial" w:eastAsia="Arial" w:hAnsi="Arial" w:cs="Arial"/>
          <w:sz w:val="22"/>
          <w:szCs w:val="22"/>
        </w:rPr>
        <w:t>Younger children may describe an allergic reaction with words such as:</w:t>
      </w:r>
    </w:p>
    <w:p w14:paraId="00000026" w14:textId="77777777" w:rsidR="0097711A" w:rsidRDefault="00000000">
      <w:pPr>
        <w:numPr>
          <w:ilvl w:val="1"/>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sz w:val="22"/>
          <w:szCs w:val="22"/>
        </w:rPr>
        <w:t>“There is something stuck in my throat.”</w:t>
      </w:r>
    </w:p>
    <w:p w14:paraId="00000027" w14:textId="77777777" w:rsidR="0097711A" w:rsidRDefault="00000000">
      <w:pPr>
        <w:numPr>
          <w:ilvl w:val="1"/>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sz w:val="22"/>
          <w:szCs w:val="22"/>
        </w:rPr>
        <w:t>“My tongue is too big.”</w:t>
      </w:r>
    </w:p>
    <w:p w14:paraId="00000028" w14:textId="77777777" w:rsidR="0097711A" w:rsidRDefault="00000000">
      <w:pPr>
        <w:numPr>
          <w:ilvl w:val="1"/>
          <w:numId w:val="7"/>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sz w:val="22"/>
          <w:szCs w:val="22"/>
        </w:rPr>
        <w:t>“My mouth itches.”</w:t>
      </w:r>
    </w:p>
    <w:p w14:paraId="00000029" w14:textId="77777777" w:rsidR="0097711A" w:rsidRDefault="00000000">
      <w:pPr>
        <w:numPr>
          <w:ilvl w:val="0"/>
          <w:numId w:val="7"/>
        </w:numPr>
        <w:pBdr>
          <w:top w:val="nil"/>
          <w:left w:val="nil"/>
          <w:bottom w:val="nil"/>
          <w:right w:val="nil"/>
          <w:between w:val="nil"/>
        </w:pBdr>
        <w:spacing w:line="360" w:lineRule="auto"/>
        <w:ind w:left="360"/>
        <w:rPr>
          <w:rFonts w:ascii="Arial" w:eastAsia="Arial" w:hAnsi="Arial" w:cs="Arial"/>
          <w:color w:val="000000"/>
          <w:sz w:val="22"/>
          <w:szCs w:val="22"/>
        </w:rPr>
      </w:pPr>
      <w:r>
        <w:rPr>
          <w:rFonts w:ascii="Arial" w:eastAsia="Arial" w:hAnsi="Arial" w:cs="Arial"/>
          <w:color w:val="000000"/>
          <w:sz w:val="22"/>
          <w:szCs w:val="22"/>
        </w:rPr>
        <w:t>If your school participates in a stock epinephrine program, be sure to:</w:t>
      </w:r>
    </w:p>
    <w:p w14:paraId="0000002A" w14:textId="77777777" w:rsidR="0097711A" w:rsidRDefault="00000000">
      <w:pPr>
        <w:numPr>
          <w:ilvl w:val="0"/>
          <w:numId w:val="9"/>
        </w:numPr>
        <w:pBdr>
          <w:top w:val="nil"/>
          <w:left w:val="nil"/>
          <w:bottom w:val="nil"/>
          <w:right w:val="nil"/>
          <w:between w:val="nil"/>
        </w:pBdr>
        <w:spacing w:line="360" w:lineRule="auto"/>
        <w:ind w:left="1440"/>
        <w:rPr>
          <w:rFonts w:ascii="Arial" w:eastAsia="Arial" w:hAnsi="Arial" w:cs="Arial"/>
          <w:color w:val="000000"/>
          <w:sz w:val="22"/>
          <w:szCs w:val="22"/>
        </w:rPr>
      </w:pPr>
      <w:r>
        <w:rPr>
          <w:rFonts w:ascii="Arial" w:eastAsia="Arial" w:hAnsi="Arial" w:cs="Arial"/>
          <w:color w:val="000000"/>
          <w:sz w:val="22"/>
          <w:szCs w:val="22"/>
        </w:rPr>
        <w:t>Know your school’s policy, plan, and protocol regarding stock epinephrine administration,</w:t>
      </w:r>
    </w:p>
    <w:p w14:paraId="0000002B" w14:textId="77777777" w:rsidR="0097711A" w:rsidRDefault="00000000">
      <w:pPr>
        <w:numPr>
          <w:ilvl w:val="0"/>
          <w:numId w:val="9"/>
        </w:numPr>
        <w:pBdr>
          <w:top w:val="nil"/>
          <w:left w:val="nil"/>
          <w:bottom w:val="nil"/>
          <w:right w:val="nil"/>
          <w:between w:val="nil"/>
        </w:pBdr>
        <w:spacing w:line="360" w:lineRule="auto"/>
        <w:ind w:left="1440"/>
        <w:rPr>
          <w:rFonts w:ascii="Arial" w:eastAsia="Arial" w:hAnsi="Arial" w:cs="Arial"/>
          <w:color w:val="000000"/>
          <w:sz w:val="22"/>
          <w:szCs w:val="22"/>
        </w:rPr>
      </w:pPr>
      <w:r>
        <w:rPr>
          <w:rFonts w:ascii="Arial" w:eastAsia="Arial" w:hAnsi="Arial" w:cs="Arial"/>
          <w:color w:val="000000"/>
          <w:sz w:val="22"/>
          <w:szCs w:val="22"/>
        </w:rPr>
        <w:t xml:space="preserve">Know the storage locations of the stock epinephrine, and </w:t>
      </w:r>
    </w:p>
    <w:p w14:paraId="0000002C" w14:textId="77777777" w:rsidR="0097711A" w:rsidRDefault="00000000">
      <w:pPr>
        <w:numPr>
          <w:ilvl w:val="0"/>
          <w:numId w:val="9"/>
        </w:numPr>
        <w:pBdr>
          <w:top w:val="nil"/>
          <w:left w:val="nil"/>
          <w:bottom w:val="nil"/>
          <w:right w:val="nil"/>
          <w:between w:val="nil"/>
        </w:pBdr>
        <w:spacing w:line="360" w:lineRule="auto"/>
        <w:ind w:left="1440"/>
        <w:rPr>
          <w:rFonts w:ascii="Arial" w:eastAsia="Arial" w:hAnsi="Arial" w:cs="Arial"/>
          <w:color w:val="000000"/>
          <w:sz w:val="22"/>
          <w:szCs w:val="22"/>
        </w:rPr>
      </w:pPr>
      <w:r>
        <w:rPr>
          <w:rFonts w:ascii="Arial" w:eastAsia="Arial" w:hAnsi="Arial" w:cs="Arial"/>
          <w:color w:val="000000"/>
          <w:sz w:val="22"/>
          <w:szCs w:val="22"/>
        </w:rPr>
        <w:t>Have proper training to administer the stock epinephrine.</w:t>
      </w:r>
    </w:p>
    <w:p w14:paraId="0000002D" w14:textId="77777777" w:rsidR="0097711A" w:rsidRDefault="00000000">
      <w:pPr>
        <w:numPr>
          <w:ilvl w:val="0"/>
          <w:numId w:val="10"/>
        </w:numPr>
        <w:spacing w:line="360" w:lineRule="auto"/>
        <w:ind w:left="360"/>
        <w:rPr>
          <w:rFonts w:ascii="Arial" w:eastAsia="Arial" w:hAnsi="Arial" w:cs="Arial"/>
          <w:sz w:val="22"/>
          <w:szCs w:val="22"/>
        </w:rPr>
      </w:pPr>
      <w:r>
        <w:rPr>
          <w:rFonts w:ascii="Arial" w:eastAsia="Arial" w:hAnsi="Arial" w:cs="Arial"/>
          <w:sz w:val="22"/>
          <w:szCs w:val="22"/>
        </w:rPr>
        <w:t>The school nurse must review the epinephrine administration procedure with staff to ensure that they have the skills to perform this emergency medication administration.</w:t>
      </w:r>
    </w:p>
    <w:p w14:paraId="0000002E" w14:textId="77777777" w:rsidR="0097711A" w:rsidRDefault="00000000">
      <w:pPr>
        <w:numPr>
          <w:ilvl w:val="0"/>
          <w:numId w:val="10"/>
        </w:numPr>
        <w:pBdr>
          <w:top w:val="nil"/>
          <w:left w:val="nil"/>
          <w:bottom w:val="nil"/>
          <w:right w:val="nil"/>
          <w:between w:val="nil"/>
        </w:pBdr>
        <w:spacing w:line="360" w:lineRule="auto"/>
        <w:ind w:left="360"/>
        <w:rPr>
          <w:rFonts w:ascii="Arial" w:eastAsia="Arial" w:hAnsi="Arial" w:cs="Arial"/>
          <w:color w:val="000000"/>
          <w:sz w:val="22"/>
          <w:szCs w:val="22"/>
        </w:rPr>
      </w:pPr>
      <w:r>
        <w:rPr>
          <w:rFonts w:ascii="Arial" w:eastAsia="Arial" w:hAnsi="Arial" w:cs="Arial"/>
          <w:color w:val="000000"/>
          <w:sz w:val="22"/>
          <w:szCs w:val="22"/>
        </w:rPr>
        <w:t>Store the severe allergic reaction emergency action plan and epinephrine auto-injector in a location that is easily accessible during a severe allergic reaction.</w:t>
      </w:r>
    </w:p>
    <w:p w14:paraId="0000002F" w14:textId="77777777" w:rsidR="0097711A" w:rsidRDefault="00000000">
      <w:pPr>
        <w:numPr>
          <w:ilvl w:val="0"/>
          <w:numId w:val="10"/>
        </w:numPr>
        <w:pBdr>
          <w:top w:val="nil"/>
          <w:left w:val="nil"/>
          <w:bottom w:val="nil"/>
          <w:right w:val="nil"/>
          <w:between w:val="nil"/>
        </w:pBdr>
        <w:spacing w:line="360" w:lineRule="auto"/>
        <w:ind w:left="360"/>
        <w:rPr>
          <w:rFonts w:ascii="Arial" w:eastAsia="Arial" w:hAnsi="Arial" w:cs="Arial"/>
          <w:color w:val="000000"/>
          <w:sz w:val="22"/>
          <w:szCs w:val="22"/>
        </w:rPr>
      </w:pPr>
      <w:r>
        <w:rPr>
          <w:rFonts w:ascii="Arial" w:eastAsia="Arial" w:hAnsi="Arial" w:cs="Arial"/>
          <w:sz w:val="22"/>
          <w:szCs w:val="22"/>
        </w:rPr>
        <w:t>The school nurse should develop a plan to systematically check the expiration date on the medication to ensure the medication has not expired.</w:t>
      </w:r>
    </w:p>
    <w:p w14:paraId="00000030" w14:textId="77777777" w:rsidR="0097711A" w:rsidRDefault="00000000">
      <w:pPr>
        <w:numPr>
          <w:ilvl w:val="0"/>
          <w:numId w:val="10"/>
        </w:numPr>
        <w:pBdr>
          <w:top w:val="nil"/>
          <w:left w:val="nil"/>
          <w:bottom w:val="nil"/>
          <w:right w:val="nil"/>
          <w:between w:val="nil"/>
        </w:pBdr>
        <w:spacing w:line="360" w:lineRule="auto"/>
        <w:ind w:left="360"/>
        <w:rPr>
          <w:rFonts w:ascii="Arial" w:eastAsia="Arial" w:hAnsi="Arial" w:cs="Arial"/>
          <w:color w:val="000000"/>
          <w:sz w:val="22"/>
          <w:szCs w:val="22"/>
        </w:rPr>
      </w:pPr>
      <w:r>
        <w:rPr>
          <w:rFonts w:ascii="Arial" w:eastAsia="Arial" w:hAnsi="Arial" w:cs="Arial"/>
          <w:sz w:val="22"/>
          <w:szCs w:val="22"/>
        </w:rPr>
        <w:t>Inspect medication to ensure that it</w:t>
      </w:r>
      <w:r>
        <w:rPr>
          <w:rFonts w:ascii="Arial" w:eastAsia="Arial" w:hAnsi="Arial" w:cs="Arial"/>
          <w:color w:val="000000"/>
          <w:sz w:val="22"/>
          <w:szCs w:val="22"/>
        </w:rPr>
        <w:t xml:space="preserve"> is clear, </w:t>
      </w:r>
      <w:r>
        <w:rPr>
          <w:rFonts w:ascii="Arial" w:eastAsia="Arial" w:hAnsi="Arial" w:cs="Arial"/>
          <w:sz w:val="22"/>
          <w:szCs w:val="22"/>
        </w:rPr>
        <w:t>R</w:t>
      </w:r>
      <w:r>
        <w:rPr>
          <w:rFonts w:ascii="Arial" w:eastAsia="Arial" w:hAnsi="Arial" w:cs="Arial"/>
          <w:color w:val="000000"/>
          <w:sz w:val="22"/>
          <w:szCs w:val="22"/>
        </w:rPr>
        <w:t>eplace the medication if it is discolored.</w:t>
      </w:r>
    </w:p>
    <w:p w14:paraId="00000031" w14:textId="77777777" w:rsidR="0097711A" w:rsidRDefault="00000000">
      <w:pPr>
        <w:numPr>
          <w:ilvl w:val="0"/>
          <w:numId w:val="10"/>
        </w:numPr>
        <w:pBdr>
          <w:top w:val="nil"/>
          <w:left w:val="nil"/>
          <w:bottom w:val="nil"/>
          <w:right w:val="nil"/>
          <w:between w:val="nil"/>
        </w:pBdr>
        <w:spacing w:line="360" w:lineRule="auto"/>
        <w:ind w:left="360"/>
        <w:rPr>
          <w:rFonts w:ascii="Arial" w:eastAsia="Arial" w:hAnsi="Arial" w:cs="Arial"/>
          <w:sz w:val="22"/>
          <w:szCs w:val="22"/>
        </w:rPr>
      </w:pPr>
      <w:r>
        <w:rPr>
          <w:rFonts w:ascii="Arial" w:eastAsia="Arial" w:hAnsi="Arial" w:cs="Arial"/>
          <w:sz w:val="22"/>
          <w:szCs w:val="22"/>
        </w:rPr>
        <w:t>Children can squirm in these stressful situations. During the SYMJEPI® injection hold the child's leg firmly in place and limit his or her movements. This will reduce the risk of an injection-related injury.</w:t>
      </w:r>
    </w:p>
    <w:p w14:paraId="00000032" w14:textId="77777777" w:rsidR="0097711A" w:rsidRDefault="0097711A">
      <w:pPr>
        <w:spacing w:line="360" w:lineRule="auto"/>
        <w:rPr>
          <w:rFonts w:ascii="Arial" w:eastAsia="Arial" w:hAnsi="Arial" w:cs="Arial"/>
          <w:sz w:val="22"/>
          <w:szCs w:val="22"/>
        </w:rPr>
      </w:pPr>
    </w:p>
    <w:p w14:paraId="00000033" w14:textId="77777777" w:rsidR="0097711A" w:rsidRDefault="00000000">
      <w:pPr>
        <w:spacing w:line="360" w:lineRule="auto"/>
        <w:rPr>
          <w:rFonts w:ascii="Arial" w:eastAsia="Arial" w:hAnsi="Arial" w:cs="Arial"/>
          <w:sz w:val="22"/>
          <w:szCs w:val="22"/>
        </w:rPr>
      </w:pPr>
      <w:r>
        <w:rPr>
          <w:rFonts w:ascii="Arial" w:eastAsia="Arial" w:hAnsi="Arial" w:cs="Arial"/>
          <w:b/>
          <w:sz w:val="22"/>
          <w:szCs w:val="22"/>
        </w:rPr>
        <w:t>Supplies</w:t>
      </w:r>
      <w:r>
        <w:rPr>
          <w:rFonts w:ascii="Arial" w:eastAsia="Arial" w:hAnsi="Arial" w:cs="Arial"/>
          <w:sz w:val="22"/>
          <w:szCs w:val="22"/>
        </w:rPr>
        <w:t xml:space="preserve">: </w:t>
      </w:r>
    </w:p>
    <w:p w14:paraId="00000034" w14:textId="77777777" w:rsidR="0097711A" w:rsidRDefault="00000000">
      <w:pPr>
        <w:numPr>
          <w:ilvl w:val="0"/>
          <w:numId w:val="3"/>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lastRenderedPageBreak/>
        <w:t xml:space="preserve">SYMJEPI® </w:t>
      </w:r>
    </w:p>
    <w:p w14:paraId="00000035" w14:textId="77777777" w:rsidR="0097711A" w:rsidRDefault="00000000">
      <w:pPr>
        <w:numPr>
          <w:ilvl w:val="0"/>
          <w:numId w:val="3"/>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Gloves </w:t>
      </w:r>
    </w:p>
    <w:p w14:paraId="00000036" w14:textId="77777777" w:rsidR="0097711A" w:rsidRDefault="00000000">
      <w:pPr>
        <w:numPr>
          <w:ilvl w:val="0"/>
          <w:numId w:val="3"/>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Sharps </w:t>
      </w:r>
      <w:r>
        <w:rPr>
          <w:rFonts w:ascii="Arial" w:eastAsia="Arial" w:hAnsi="Arial" w:cs="Arial"/>
          <w:sz w:val="22"/>
          <w:szCs w:val="22"/>
        </w:rPr>
        <w:t>c</w:t>
      </w:r>
      <w:r>
        <w:rPr>
          <w:rFonts w:ascii="Arial" w:eastAsia="Arial" w:hAnsi="Arial" w:cs="Arial"/>
          <w:color w:val="000000"/>
          <w:sz w:val="22"/>
          <w:szCs w:val="22"/>
        </w:rPr>
        <w:t xml:space="preserve">ontainer </w:t>
      </w:r>
    </w:p>
    <w:p w14:paraId="00000037" w14:textId="77777777" w:rsidR="0097711A" w:rsidRDefault="00000000">
      <w:pPr>
        <w:numPr>
          <w:ilvl w:val="0"/>
          <w:numId w:val="3"/>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Alcohol Pad (if possible) </w:t>
      </w:r>
    </w:p>
    <w:p w14:paraId="00000038" w14:textId="77777777" w:rsidR="0097711A" w:rsidRDefault="00000000">
      <w:pPr>
        <w:numPr>
          <w:ilvl w:val="0"/>
          <w:numId w:val="3"/>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Band-Aid (if possible)</w:t>
      </w:r>
    </w:p>
    <w:p w14:paraId="00000039" w14:textId="77777777" w:rsidR="0097711A" w:rsidRDefault="00000000">
      <w:pPr>
        <w:numPr>
          <w:ilvl w:val="0"/>
          <w:numId w:val="3"/>
        </w:numPr>
        <w:pBdr>
          <w:top w:val="nil"/>
          <w:left w:val="nil"/>
          <w:bottom w:val="nil"/>
          <w:right w:val="nil"/>
          <w:between w:val="nil"/>
        </w:pBdr>
        <w:spacing w:line="360" w:lineRule="auto"/>
        <w:rPr>
          <w:rFonts w:ascii="Arial" w:eastAsia="Arial" w:hAnsi="Arial" w:cs="Arial"/>
          <w:sz w:val="22"/>
          <w:szCs w:val="22"/>
        </w:rPr>
      </w:pPr>
      <w:r>
        <w:rPr>
          <w:rFonts w:ascii="Arial" w:eastAsia="Arial" w:hAnsi="Arial" w:cs="Arial"/>
          <w:sz w:val="22"/>
          <w:szCs w:val="22"/>
        </w:rPr>
        <w:t>Emergency Action Plan/Health care provider’s orders and student’s Individualized Health Care Plan (IHCP)</w:t>
      </w:r>
    </w:p>
    <w:p w14:paraId="0000003A" w14:textId="77777777" w:rsidR="0097711A" w:rsidRDefault="00000000">
      <w:pPr>
        <w:numPr>
          <w:ilvl w:val="0"/>
          <w:numId w:val="3"/>
        </w:numPr>
        <w:pBdr>
          <w:top w:val="nil"/>
          <w:left w:val="nil"/>
          <w:bottom w:val="nil"/>
          <w:right w:val="nil"/>
          <w:between w:val="nil"/>
        </w:pBdr>
        <w:spacing w:line="360" w:lineRule="auto"/>
        <w:rPr>
          <w:rFonts w:ascii="Arial" w:eastAsia="Arial" w:hAnsi="Arial" w:cs="Arial"/>
          <w:sz w:val="22"/>
          <w:szCs w:val="22"/>
        </w:rPr>
      </w:pPr>
      <w:r>
        <w:rPr>
          <w:rFonts w:ascii="Arial" w:eastAsia="Arial" w:hAnsi="Arial" w:cs="Arial"/>
          <w:sz w:val="22"/>
          <w:szCs w:val="22"/>
        </w:rPr>
        <w:t>Parent/Guardian authorization form</w:t>
      </w:r>
    </w:p>
    <w:p w14:paraId="0000003B" w14:textId="77777777" w:rsidR="0097711A" w:rsidRDefault="0097711A">
      <w:pPr>
        <w:spacing w:line="360" w:lineRule="auto"/>
        <w:rPr>
          <w:rFonts w:ascii="Arial" w:eastAsia="Arial" w:hAnsi="Arial" w:cs="Arial"/>
          <w:sz w:val="22"/>
          <w:szCs w:val="22"/>
        </w:rPr>
      </w:pPr>
    </w:p>
    <w:p w14:paraId="0000003C" w14:textId="77777777" w:rsidR="0097711A" w:rsidRDefault="00000000">
      <w:pPr>
        <w:spacing w:line="360" w:lineRule="auto"/>
        <w:rPr>
          <w:rFonts w:ascii="Arial" w:eastAsia="Arial" w:hAnsi="Arial" w:cs="Arial"/>
          <w:b/>
          <w:sz w:val="22"/>
          <w:szCs w:val="22"/>
        </w:rPr>
      </w:pPr>
      <w:r>
        <w:rPr>
          <w:rFonts w:ascii="Arial" w:eastAsia="Arial" w:hAnsi="Arial" w:cs="Arial"/>
          <w:b/>
          <w:sz w:val="22"/>
          <w:szCs w:val="22"/>
        </w:rPr>
        <w:t xml:space="preserve">Procedure for administration of SYMJEPI® </w:t>
      </w:r>
    </w:p>
    <w:p w14:paraId="0000003D" w14:textId="77777777" w:rsidR="0097711A"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Identify that symptoms of a severe allergic reaction are present and that based on the child’s severe allergic reaction emergency action plan, emergency medication needs to be given</w:t>
      </w:r>
    </w:p>
    <w:p w14:paraId="0000003E" w14:textId="77777777" w:rsidR="0097711A"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Call for assistance</w:t>
      </w:r>
    </w:p>
    <w:p w14:paraId="0000003F" w14:textId="77777777" w:rsidR="0097711A" w:rsidRDefault="00000000">
      <w:pPr>
        <w:numPr>
          <w:ilvl w:val="1"/>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Ask that another school staff personnel call 911 or emergency medical services and </w:t>
      </w:r>
      <w:r>
        <w:rPr>
          <w:rFonts w:ascii="Arial" w:eastAsia="Arial" w:hAnsi="Arial" w:cs="Arial"/>
          <w:sz w:val="22"/>
          <w:szCs w:val="22"/>
        </w:rPr>
        <w:t>notify the parent/guardian</w:t>
      </w:r>
    </w:p>
    <w:p w14:paraId="00000040" w14:textId="77777777" w:rsidR="0097711A" w:rsidRDefault="00000000">
      <w:pPr>
        <w:numPr>
          <w:ilvl w:val="1"/>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Remove other students from the area, as necessary</w:t>
      </w:r>
    </w:p>
    <w:p w14:paraId="00000041" w14:textId="77777777" w:rsidR="0097711A"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sz w:val="22"/>
          <w:szCs w:val="22"/>
        </w:rPr>
        <w:t>Ensure proper documentation of parent/guardian authorization to administer medication</w:t>
      </w:r>
    </w:p>
    <w:p w14:paraId="00000042" w14:textId="77777777" w:rsidR="0097711A"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Gather needed supplies and place on a clean surface near the student</w:t>
      </w:r>
    </w:p>
    <w:p w14:paraId="00000043" w14:textId="77777777" w:rsidR="0097711A"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Quickly talk to the student and evaluate the situation. Prepare the student</w:t>
      </w:r>
    </w:p>
    <w:p w14:paraId="00000044" w14:textId="77777777" w:rsidR="0097711A"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Position student, providing as much privacy as possible</w:t>
      </w:r>
    </w:p>
    <w:p w14:paraId="00000045" w14:textId="77777777" w:rsidR="0097711A" w:rsidRDefault="00000000">
      <w:pPr>
        <w:numPr>
          <w:ilvl w:val="1"/>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The injector can be given through clothing in most circumstances</w:t>
      </w:r>
    </w:p>
    <w:p w14:paraId="00000046" w14:textId="77777777" w:rsidR="0097711A"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sz w:val="22"/>
          <w:szCs w:val="22"/>
        </w:rPr>
        <w:t>R</w:t>
      </w:r>
      <w:r>
        <w:rPr>
          <w:rFonts w:ascii="Arial" w:eastAsia="Arial" w:hAnsi="Arial" w:cs="Arial"/>
          <w:color w:val="000000"/>
          <w:sz w:val="22"/>
          <w:szCs w:val="22"/>
        </w:rPr>
        <w:t>eview the medication administration form, the</w:t>
      </w:r>
      <w:r>
        <w:rPr>
          <w:rFonts w:ascii="Arial" w:eastAsia="Arial" w:hAnsi="Arial" w:cs="Arial"/>
          <w:sz w:val="22"/>
          <w:szCs w:val="22"/>
        </w:rPr>
        <w:t xml:space="preserve"> health care provider’s orders, Emergency Action Plan,</w:t>
      </w:r>
      <w:r>
        <w:rPr>
          <w:rFonts w:ascii="Arial" w:eastAsia="Arial" w:hAnsi="Arial" w:cs="Arial"/>
          <w:color w:val="000000"/>
          <w:sz w:val="22"/>
          <w:szCs w:val="22"/>
        </w:rPr>
        <w:t xml:space="preserve"> or district protocol/plan form, and the parent/guardian consent form, if available </w:t>
      </w:r>
    </w:p>
    <w:p w14:paraId="00000047" w14:textId="77777777" w:rsidR="0097711A"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sz w:val="22"/>
          <w:szCs w:val="22"/>
        </w:rPr>
        <w:t xml:space="preserve">Review the six rights of medication administration to be sure it is: </w:t>
      </w:r>
    </w:p>
    <w:p w14:paraId="00000048" w14:textId="77777777" w:rsidR="0097711A" w:rsidRDefault="00000000">
      <w:pPr>
        <w:numPr>
          <w:ilvl w:val="1"/>
          <w:numId w:val="2"/>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sz w:val="22"/>
          <w:szCs w:val="22"/>
        </w:rPr>
        <w:t>T</w:t>
      </w:r>
      <w:r>
        <w:rPr>
          <w:rFonts w:ascii="Arial" w:eastAsia="Arial" w:hAnsi="Arial" w:cs="Arial"/>
          <w:color w:val="000000"/>
          <w:sz w:val="22"/>
          <w:szCs w:val="22"/>
        </w:rPr>
        <w:t xml:space="preserve">he right </w:t>
      </w:r>
      <w:r>
        <w:rPr>
          <w:rFonts w:ascii="Arial" w:eastAsia="Arial" w:hAnsi="Arial" w:cs="Arial"/>
          <w:sz w:val="22"/>
          <w:szCs w:val="22"/>
        </w:rPr>
        <w:t>student</w:t>
      </w:r>
    </w:p>
    <w:p w14:paraId="00000049" w14:textId="77777777" w:rsidR="0097711A" w:rsidRDefault="00000000">
      <w:pPr>
        <w:numPr>
          <w:ilvl w:val="1"/>
          <w:numId w:val="2"/>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The right medication</w:t>
      </w:r>
    </w:p>
    <w:p w14:paraId="0000004A" w14:textId="77777777" w:rsidR="0097711A" w:rsidRDefault="00000000">
      <w:pPr>
        <w:numPr>
          <w:ilvl w:val="1"/>
          <w:numId w:val="2"/>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The right dose</w:t>
      </w:r>
    </w:p>
    <w:p w14:paraId="0000004B" w14:textId="77777777" w:rsidR="0097711A" w:rsidRDefault="00000000">
      <w:pPr>
        <w:numPr>
          <w:ilvl w:val="2"/>
          <w:numId w:val="2"/>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sz w:val="22"/>
          <w:szCs w:val="22"/>
        </w:rPr>
        <w:t>A</w:t>
      </w:r>
      <w:r>
        <w:rPr>
          <w:rFonts w:ascii="Arial" w:eastAsia="Arial" w:hAnsi="Arial" w:cs="Arial"/>
          <w:color w:val="000000"/>
          <w:sz w:val="22"/>
          <w:szCs w:val="22"/>
        </w:rPr>
        <w:t xml:space="preserve">n approximation of the </w:t>
      </w:r>
      <w:r>
        <w:rPr>
          <w:rFonts w:ascii="Arial" w:eastAsia="Arial" w:hAnsi="Arial" w:cs="Arial"/>
          <w:sz w:val="22"/>
          <w:szCs w:val="22"/>
        </w:rPr>
        <w:t>student</w:t>
      </w:r>
      <w:r>
        <w:rPr>
          <w:rFonts w:ascii="Arial" w:eastAsia="Arial" w:hAnsi="Arial" w:cs="Arial"/>
          <w:color w:val="000000"/>
          <w:sz w:val="22"/>
          <w:szCs w:val="22"/>
        </w:rPr>
        <w:t>’s weight may be needed, if using a stock epinephrine auto-injector</w:t>
      </w:r>
    </w:p>
    <w:p w14:paraId="0000004C" w14:textId="77777777" w:rsidR="0097711A" w:rsidRDefault="00000000">
      <w:pPr>
        <w:numPr>
          <w:ilvl w:val="1"/>
          <w:numId w:val="2"/>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Being given at the right time</w:t>
      </w:r>
    </w:p>
    <w:p w14:paraId="0000004D" w14:textId="77777777" w:rsidR="0097711A" w:rsidRDefault="00000000">
      <w:pPr>
        <w:numPr>
          <w:ilvl w:val="1"/>
          <w:numId w:val="2"/>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Being given by the right route</w:t>
      </w:r>
    </w:p>
    <w:p w14:paraId="0000004E" w14:textId="77777777" w:rsidR="0097711A" w:rsidRDefault="00000000">
      <w:pPr>
        <w:numPr>
          <w:ilvl w:val="1"/>
          <w:numId w:val="2"/>
        </w:numPr>
        <w:pBdr>
          <w:top w:val="nil"/>
          <w:left w:val="nil"/>
          <w:bottom w:val="nil"/>
          <w:right w:val="nil"/>
          <w:between w:val="nil"/>
        </w:pBdr>
        <w:spacing w:line="360" w:lineRule="auto"/>
        <w:rPr>
          <w:rFonts w:ascii="Arial" w:eastAsia="Arial" w:hAnsi="Arial" w:cs="Arial"/>
          <w:sz w:val="22"/>
          <w:szCs w:val="22"/>
        </w:rPr>
      </w:pPr>
      <w:r>
        <w:rPr>
          <w:rFonts w:ascii="Arial" w:eastAsia="Arial" w:hAnsi="Arial" w:cs="Arial"/>
          <w:sz w:val="22"/>
          <w:szCs w:val="22"/>
        </w:rPr>
        <w:t>Being given for the right reason</w:t>
      </w:r>
    </w:p>
    <w:p w14:paraId="0000004F" w14:textId="77777777" w:rsidR="0097711A"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lastRenderedPageBreak/>
        <w:t>Be sure to check the medication to ensure that it is not expired</w:t>
      </w:r>
    </w:p>
    <w:p w14:paraId="00000050" w14:textId="77777777" w:rsidR="0097711A" w:rsidRDefault="00000000">
      <w:pPr>
        <w:numPr>
          <w:ilvl w:val="1"/>
          <w:numId w:val="4"/>
        </w:numPr>
        <w:spacing w:line="360" w:lineRule="auto"/>
        <w:rPr>
          <w:rFonts w:ascii="Arial" w:eastAsia="Arial" w:hAnsi="Arial" w:cs="Arial"/>
          <w:sz w:val="22"/>
          <w:szCs w:val="22"/>
        </w:rPr>
      </w:pPr>
      <w:r>
        <w:rPr>
          <w:rFonts w:ascii="Arial" w:eastAsia="Arial" w:hAnsi="Arial" w:cs="Arial"/>
          <w:sz w:val="22"/>
          <w:szCs w:val="22"/>
        </w:rPr>
        <w:t>If medication is expired do not administer it, call 911</w:t>
      </w:r>
    </w:p>
    <w:p w14:paraId="00000051" w14:textId="77777777" w:rsidR="0097711A" w:rsidRDefault="00000000">
      <w:pPr>
        <w:numPr>
          <w:ilvl w:val="0"/>
          <w:numId w:val="1"/>
        </w:numPr>
        <w:pBdr>
          <w:top w:val="nil"/>
          <w:left w:val="nil"/>
          <w:bottom w:val="nil"/>
          <w:right w:val="nil"/>
          <w:between w:val="nil"/>
        </w:pBdr>
        <w:spacing w:line="360" w:lineRule="auto"/>
        <w:rPr>
          <w:rFonts w:ascii="Arial" w:eastAsia="Arial" w:hAnsi="Arial" w:cs="Arial"/>
          <w:sz w:val="22"/>
          <w:szCs w:val="22"/>
        </w:rPr>
      </w:pPr>
      <w:r>
        <w:rPr>
          <w:rFonts w:ascii="Arial" w:eastAsia="Arial" w:hAnsi="Arial" w:cs="Arial"/>
          <w:sz w:val="22"/>
          <w:szCs w:val="22"/>
        </w:rPr>
        <w:t>Inspect the medication to ensure that the solution is clear</w:t>
      </w:r>
    </w:p>
    <w:p w14:paraId="00000052" w14:textId="77777777" w:rsidR="0097711A" w:rsidRDefault="00000000">
      <w:pPr>
        <w:numPr>
          <w:ilvl w:val="0"/>
          <w:numId w:val="1"/>
        </w:numPr>
        <w:pBdr>
          <w:top w:val="nil"/>
          <w:left w:val="nil"/>
          <w:bottom w:val="nil"/>
          <w:right w:val="nil"/>
          <w:between w:val="nil"/>
        </w:pBdr>
        <w:spacing w:line="360" w:lineRule="auto"/>
        <w:rPr>
          <w:rFonts w:ascii="Arial" w:eastAsia="Arial" w:hAnsi="Arial" w:cs="Arial"/>
          <w:sz w:val="22"/>
          <w:szCs w:val="22"/>
        </w:rPr>
      </w:pPr>
      <w:r>
        <w:rPr>
          <w:rFonts w:ascii="Arial" w:eastAsia="Arial" w:hAnsi="Arial" w:cs="Arial"/>
          <w:sz w:val="22"/>
          <w:szCs w:val="22"/>
        </w:rPr>
        <w:t xml:space="preserve">Review the student’s allergy status </w:t>
      </w:r>
    </w:p>
    <w:p w14:paraId="00000053" w14:textId="77777777" w:rsidR="0097711A"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Wash your hands, if possible</w:t>
      </w:r>
    </w:p>
    <w:p w14:paraId="00000054" w14:textId="77777777" w:rsidR="0097711A" w:rsidRDefault="00000000">
      <w:pPr>
        <w:numPr>
          <w:ilvl w:val="1"/>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In a true emergency situation, there may not be time to do this step</w:t>
      </w:r>
    </w:p>
    <w:p w14:paraId="00000055" w14:textId="77777777" w:rsidR="0097711A"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Put on gloves</w:t>
      </w:r>
    </w:p>
    <w:p w14:paraId="00000056" w14:textId="77777777" w:rsidR="0097711A"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sz w:val="22"/>
          <w:szCs w:val="22"/>
        </w:rPr>
        <w:t>Review the six rights of medication administration again to be sure that it is</w:t>
      </w:r>
      <w:r>
        <w:rPr>
          <w:rFonts w:ascii="Arial" w:eastAsia="Arial" w:hAnsi="Arial" w:cs="Arial"/>
          <w:color w:val="000000"/>
          <w:sz w:val="22"/>
          <w:szCs w:val="22"/>
        </w:rPr>
        <w:t>:</w:t>
      </w:r>
    </w:p>
    <w:p w14:paraId="00000057" w14:textId="77777777" w:rsidR="0097711A" w:rsidRDefault="00000000">
      <w:pPr>
        <w:numPr>
          <w:ilvl w:val="1"/>
          <w:numId w:val="5"/>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sz w:val="22"/>
          <w:szCs w:val="22"/>
        </w:rPr>
        <w:t>T</w:t>
      </w:r>
      <w:r>
        <w:rPr>
          <w:rFonts w:ascii="Arial" w:eastAsia="Arial" w:hAnsi="Arial" w:cs="Arial"/>
          <w:color w:val="000000"/>
          <w:sz w:val="22"/>
          <w:szCs w:val="22"/>
        </w:rPr>
        <w:t xml:space="preserve">he right </w:t>
      </w:r>
      <w:r>
        <w:rPr>
          <w:rFonts w:ascii="Arial" w:eastAsia="Arial" w:hAnsi="Arial" w:cs="Arial"/>
          <w:sz w:val="22"/>
          <w:szCs w:val="22"/>
        </w:rPr>
        <w:t>student</w:t>
      </w:r>
    </w:p>
    <w:p w14:paraId="00000058" w14:textId="77777777" w:rsidR="0097711A" w:rsidRDefault="00000000">
      <w:pPr>
        <w:numPr>
          <w:ilvl w:val="1"/>
          <w:numId w:val="5"/>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The right medication</w:t>
      </w:r>
    </w:p>
    <w:p w14:paraId="00000059" w14:textId="77777777" w:rsidR="0097711A" w:rsidRDefault="00000000">
      <w:pPr>
        <w:numPr>
          <w:ilvl w:val="1"/>
          <w:numId w:val="5"/>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The right dose (an approximation of the </w:t>
      </w:r>
      <w:r>
        <w:rPr>
          <w:rFonts w:ascii="Arial" w:eastAsia="Arial" w:hAnsi="Arial" w:cs="Arial"/>
          <w:sz w:val="22"/>
          <w:szCs w:val="22"/>
        </w:rPr>
        <w:t>student</w:t>
      </w:r>
      <w:r>
        <w:rPr>
          <w:rFonts w:ascii="Arial" w:eastAsia="Arial" w:hAnsi="Arial" w:cs="Arial"/>
          <w:color w:val="000000"/>
          <w:sz w:val="22"/>
          <w:szCs w:val="22"/>
        </w:rPr>
        <w:t>’s weight may be needed)</w:t>
      </w:r>
    </w:p>
    <w:p w14:paraId="0000005A" w14:textId="77777777" w:rsidR="0097711A" w:rsidRDefault="00000000">
      <w:pPr>
        <w:numPr>
          <w:ilvl w:val="1"/>
          <w:numId w:val="5"/>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Being given at the right time</w:t>
      </w:r>
    </w:p>
    <w:p w14:paraId="0000005B" w14:textId="77777777" w:rsidR="0097711A" w:rsidRDefault="00000000">
      <w:pPr>
        <w:numPr>
          <w:ilvl w:val="1"/>
          <w:numId w:val="5"/>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Being given by the right route</w:t>
      </w:r>
    </w:p>
    <w:p w14:paraId="0000005C" w14:textId="77777777" w:rsidR="0097711A" w:rsidRDefault="00000000">
      <w:pPr>
        <w:numPr>
          <w:ilvl w:val="1"/>
          <w:numId w:val="5"/>
        </w:numPr>
        <w:pBdr>
          <w:top w:val="nil"/>
          <w:left w:val="nil"/>
          <w:bottom w:val="nil"/>
          <w:right w:val="nil"/>
          <w:between w:val="nil"/>
        </w:pBdr>
        <w:spacing w:line="360" w:lineRule="auto"/>
        <w:rPr>
          <w:rFonts w:ascii="Arial" w:eastAsia="Arial" w:hAnsi="Arial" w:cs="Arial"/>
          <w:sz w:val="22"/>
          <w:szCs w:val="22"/>
        </w:rPr>
      </w:pPr>
      <w:r>
        <w:rPr>
          <w:rFonts w:ascii="Arial" w:eastAsia="Arial" w:hAnsi="Arial" w:cs="Arial"/>
          <w:sz w:val="22"/>
          <w:szCs w:val="22"/>
        </w:rPr>
        <w:t>Being given for the right reason</w:t>
      </w:r>
    </w:p>
    <w:p w14:paraId="0000005D" w14:textId="77777777" w:rsidR="0097711A"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Pull the cap off to expose the needle</w:t>
      </w:r>
    </w:p>
    <w:p w14:paraId="0000005E" w14:textId="77777777" w:rsidR="0097711A" w:rsidRDefault="00000000">
      <w:pPr>
        <w:numPr>
          <w:ilvl w:val="1"/>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Handle the device carefully to avoid an accidental needle stick</w:t>
      </w:r>
    </w:p>
    <w:p w14:paraId="0000005F" w14:textId="77777777" w:rsidR="0097711A" w:rsidRDefault="00000000">
      <w:pPr>
        <w:numPr>
          <w:ilvl w:val="0"/>
          <w:numId w:val="1"/>
        </w:numPr>
        <w:pBdr>
          <w:top w:val="nil"/>
          <w:left w:val="nil"/>
          <w:bottom w:val="nil"/>
          <w:right w:val="nil"/>
          <w:between w:val="nil"/>
        </w:pBdr>
        <w:spacing w:line="360" w:lineRule="auto"/>
        <w:rPr>
          <w:rFonts w:ascii="Arial" w:eastAsia="Arial" w:hAnsi="Arial" w:cs="Arial"/>
          <w:sz w:val="22"/>
          <w:szCs w:val="22"/>
        </w:rPr>
      </w:pPr>
      <w:r>
        <w:rPr>
          <w:rFonts w:ascii="Arial" w:eastAsia="Arial" w:hAnsi="Arial" w:cs="Arial"/>
          <w:sz w:val="22"/>
          <w:szCs w:val="22"/>
        </w:rPr>
        <w:t>Hold the student’s leg firmly in place to limit movement</w:t>
      </w:r>
    </w:p>
    <w:p w14:paraId="00000060" w14:textId="77777777" w:rsidR="0097711A"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Hold</w:t>
      </w:r>
      <w:r>
        <w:rPr>
          <w:rFonts w:ascii="Arial" w:eastAsia="Arial" w:hAnsi="Arial" w:cs="Arial"/>
          <w:sz w:val="22"/>
          <w:szCs w:val="22"/>
        </w:rPr>
        <w:t xml:space="preserve"> the device</w:t>
      </w:r>
      <w:r>
        <w:rPr>
          <w:rFonts w:ascii="Arial" w:eastAsia="Arial" w:hAnsi="Arial" w:cs="Arial"/>
          <w:color w:val="000000"/>
          <w:sz w:val="22"/>
          <w:szCs w:val="22"/>
        </w:rPr>
        <w:t xml:space="preserve"> by the finger grips</w:t>
      </w:r>
      <w:r>
        <w:rPr>
          <w:rFonts w:ascii="Arial" w:eastAsia="Arial" w:hAnsi="Arial" w:cs="Arial"/>
          <w:sz w:val="22"/>
          <w:szCs w:val="22"/>
        </w:rPr>
        <w:t xml:space="preserve"> and </w:t>
      </w:r>
      <w:r>
        <w:rPr>
          <w:rFonts w:ascii="Arial" w:eastAsia="Arial" w:hAnsi="Arial" w:cs="Arial"/>
          <w:color w:val="000000"/>
          <w:sz w:val="22"/>
          <w:szCs w:val="22"/>
        </w:rPr>
        <w:t>slowly insert the needle into the middle of the outer thigh</w:t>
      </w:r>
    </w:p>
    <w:p w14:paraId="00000061" w14:textId="77777777" w:rsidR="0097711A" w:rsidRDefault="00000000">
      <w:pPr>
        <w:numPr>
          <w:ilvl w:val="1"/>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The injection can be given through clothing</w:t>
      </w:r>
    </w:p>
    <w:p w14:paraId="00000062" w14:textId="77777777" w:rsidR="0097711A"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After needle is in the thigh, push the plunger all the way down until it clicks</w:t>
      </w:r>
    </w:p>
    <w:p w14:paraId="00000063" w14:textId="77777777" w:rsidR="0097711A"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Hold in place for 2 seconds</w:t>
      </w:r>
    </w:p>
    <w:p w14:paraId="00000064" w14:textId="77777777" w:rsidR="0097711A"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Remove the syringe and massage the area for 10 seconds</w:t>
      </w:r>
    </w:p>
    <w:p w14:paraId="00000065" w14:textId="77777777" w:rsidR="0097711A" w:rsidRDefault="00000000">
      <w:pPr>
        <w:numPr>
          <w:ilvl w:val="1"/>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The correct dose has been injected if the plunger has been pushed all the way down and the solution window is at least partially blocked</w:t>
      </w:r>
    </w:p>
    <w:p w14:paraId="00000066" w14:textId="77777777" w:rsidR="0097711A"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Upon removing the needle be cautious of the exposed needle and take care to avoid an accidental needle stick</w:t>
      </w:r>
    </w:p>
    <w:p w14:paraId="00000067" w14:textId="77777777" w:rsidR="0097711A"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While holding the plunger end of the syringe with one hand, use your other hand to slide the safety guard up until it clicks to cover the needle</w:t>
      </w:r>
    </w:p>
    <w:p w14:paraId="00000068" w14:textId="77777777" w:rsidR="0097711A"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Place SYMJEPI® auto-injector into an appropriate sharps container or hand to emergency medical responders</w:t>
      </w:r>
    </w:p>
    <w:p w14:paraId="00000069" w14:textId="77777777" w:rsidR="0097711A"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If alone with the student and you have not already called 911 or emergency medical services and notified parents, do so now</w:t>
      </w:r>
    </w:p>
    <w:p w14:paraId="0000006A" w14:textId="77777777" w:rsidR="0097711A"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Monitor student’s pulse and respirations</w:t>
      </w:r>
    </w:p>
    <w:p w14:paraId="0000006B" w14:textId="77777777" w:rsidR="0097711A"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lastRenderedPageBreak/>
        <w:t>Once the emergency medical responders arrive, inform them of the medication administered, including the type of medication, dose, and the time given</w:t>
      </w:r>
    </w:p>
    <w:p w14:paraId="0000006C" w14:textId="77777777" w:rsidR="0097711A"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If not done already, dispose of the injector in an approved sharps disposal container or give to the emergency medical responders</w:t>
      </w:r>
    </w:p>
    <w:p w14:paraId="0000006D" w14:textId="77777777" w:rsidR="0097711A"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Remove gloves and wash hands</w:t>
      </w:r>
    </w:p>
    <w:p w14:paraId="0000006E" w14:textId="77777777" w:rsidR="0097711A"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Document medication administration in student’s medication administration log</w:t>
      </w:r>
    </w:p>
    <w:p w14:paraId="0000006F" w14:textId="77777777" w:rsidR="0097711A" w:rsidRDefault="00000000">
      <w:pPr>
        <w:numPr>
          <w:ilvl w:val="0"/>
          <w:numId w:val="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Follow up with the parent or guardian and </w:t>
      </w:r>
      <w:r>
        <w:rPr>
          <w:rFonts w:ascii="Arial" w:eastAsia="Arial" w:hAnsi="Arial" w:cs="Arial"/>
          <w:sz w:val="22"/>
          <w:szCs w:val="22"/>
        </w:rPr>
        <w:t>health care</w:t>
      </w:r>
      <w:r>
        <w:rPr>
          <w:rFonts w:ascii="Arial" w:eastAsia="Arial" w:hAnsi="Arial" w:cs="Arial"/>
          <w:color w:val="000000"/>
          <w:sz w:val="22"/>
          <w:szCs w:val="22"/>
        </w:rPr>
        <w:t xml:space="preserve"> provider, as needed</w:t>
      </w:r>
    </w:p>
    <w:p w14:paraId="00000070" w14:textId="77777777" w:rsidR="0097711A" w:rsidRDefault="0097711A">
      <w:pPr>
        <w:spacing w:line="360" w:lineRule="auto"/>
        <w:rPr>
          <w:rFonts w:ascii="Arial" w:eastAsia="Arial" w:hAnsi="Arial" w:cs="Arial"/>
          <w:sz w:val="22"/>
          <w:szCs w:val="22"/>
        </w:rPr>
      </w:pPr>
    </w:p>
    <w:p w14:paraId="00000071" w14:textId="77777777" w:rsidR="0097711A" w:rsidRDefault="0097711A">
      <w:pPr>
        <w:spacing w:line="360" w:lineRule="auto"/>
        <w:rPr>
          <w:rFonts w:ascii="Arial" w:eastAsia="Arial" w:hAnsi="Arial" w:cs="Arial"/>
          <w:sz w:val="22"/>
          <w:szCs w:val="22"/>
        </w:rPr>
      </w:pPr>
    </w:p>
    <w:p w14:paraId="00000072" w14:textId="77777777" w:rsidR="0097711A" w:rsidRDefault="0097711A">
      <w:pPr>
        <w:widowControl w:val="0"/>
        <w:spacing w:line="360" w:lineRule="auto"/>
        <w:ind w:left="720" w:hanging="720"/>
        <w:rPr>
          <w:rFonts w:ascii="Arial" w:eastAsia="Arial" w:hAnsi="Arial" w:cs="Arial"/>
          <w:b/>
          <w:sz w:val="22"/>
          <w:szCs w:val="22"/>
        </w:rPr>
      </w:pPr>
    </w:p>
    <w:p w14:paraId="00000073" w14:textId="77777777" w:rsidR="0097711A" w:rsidRDefault="00000000">
      <w:pPr>
        <w:widowControl w:val="0"/>
        <w:spacing w:line="360" w:lineRule="auto"/>
        <w:ind w:left="720" w:hanging="720"/>
        <w:rPr>
          <w:rFonts w:ascii="Arial" w:eastAsia="Arial" w:hAnsi="Arial" w:cs="Arial"/>
          <w:b/>
          <w:sz w:val="22"/>
          <w:szCs w:val="22"/>
        </w:rPr>
      </w:pPr>
      <w:r>
        <w:rPr>
          <w:rFonts w:ascii="Arial" w:eastAsia="Arial" w:hAnsi="Arial" w:cs="Arial"/>
          <w:b/>
          <w:sz w:val="22"/>
          <w:szCs w:val="22"/>
        </w:rPr>
        <w:t>References:</w:t>
      </w:r>
    </w:p>
    <w:p w14:paraId="00000074" w14:textId="77777777" w:rsidR="0097711A" w:rsidRDefault="00000000">
      <w:pPr>
        <w:spacing w:line="360" w:lineRule="auto"/>
        <w:ind w:left="720" w:hanging="720"/>
        <w:rPr>
          <w:rFonts w:ascii="Roboto" w:eastAsia="Roboto" w:hAnsi="Roboto" w:cs="Roboto"/>
          <w:color w:val="212121"/>
          <w:highlight w:val="white"/>
        </w:rPr>
      </w:pPr>
      <w:r>
        <w:rPr>
          <w:rFonts w:ascii="Arial" w:eastAsia="Arial" w:hAnsi="Arial" w:cs="Arial"/>
          <w:sz w:val="22"/>
          <w:szCs w:val="22"/>
        </w:rPr>
        <w:t xml:space="preserve">Bingemann, T.A., Nanda, A., and Russell, A.F. (2021). Pharmacology update: School nurse role and emergency medications for treatment of anaphylaxis. </w:t>
      </w:r>
      <w:r>
        <w:rPr>
          <w:rFonts w:ascii="Roboto" w:eastAsia="Roboto" w:hAnsi="Roboto" w:cs="Roboto"/>
          <w:i/>
          <w:color w:val="212121"/>
          <w:highlight w:val="white"/>
        </w:rPr>
        <w:t>NASN school nurse (Print)</w:t>
      </w:r>
      <w:r>
        <w:rPr>
          <w:rFonts w:ascii="Roboto" w:eastAsia="Roboto" w:hAnsi="Roboto" w:cs="Roboto"/>
          <w:color w:val="212121"/>
          <w:highlight w:val="white"/>
        </w:rPr>
        <w:t xml:space="preserve">, </w:t>
      </w:r>
      <w:r>
        <w:rPr>
          <w:rFonts w:ascii="Roboto" w:eastAsia="Roboto" w:hAnsi="Roboto" w:cs="Roboto"/>
          <w:i/>
          <w:color w:val="212121"/>
          <w:highlight w:val="white"/>
        </w:rPr>
        <w:t>36</w:t>
      </w:r>
      <w:r>
        <w:rPr>
          <w:rFonts w:ascii="Roboto" w:eastAsia="Roboto" w:hAnsi="Roboto" w:cs="Roboto"/>
          <w:color w:val="212121"/>
          <w:highlight w:val="white"/>
        </w:rPr>
        <w:t xml:space="preserve">(5), 264–270. </w:t>
      </w:r>
      <w:hyperlink r:id="rId10">
        <w:r>
          <w:rPr>
            <w:rFonts w:ascii="Roboto" w:eastAsia="Roboto" w:hAnsi="Roboto" w:cs="Roboto"/>
            <w:color w:val="1155CC"/>
            <w:highlight w:val="white"/>
            <w:u w:val="single"/>
          </w:rPr>
          <w:t>https://doi.org/10.1177/1942602X211021902</w:t>
        </w:r>
      </w:hyperlink>
    </w:p>
    <w:p w14:paraId="00000075" w14:textId="77777777" w:rsidR="0097711A" w:rsidRDefault="00000000">
      <w:pPr>
        <w:spacing w:line="360" w:lineRule="auto"/>
        <w:ind w:left="720" w:hanging="720"/>
        <w:rPr>
          <w:rFonts w:ascii="Arial" w:eastAsia="Arial" w:hAnsi="Arial" w:cs="Arial"/>
          <w:sz w:val="22"/>
          <w:szCs w:val="22"/>
        </w:rPr>
      </w:pPr>
      <w:r>
        <w:rPr>
          <w:rFonts w:ascii="Arial" w:eastAsia="Arial" w:hAnsi="Arial" w:cs="Arial"/>
          <w:sz w:val="22"/>
          <w:szCs w:val="22"/>
        </w:rPr>
        <w:t xml:space="preserve">Butler, S.M., Boucher, E.A., Tobison, J., &amp; Phan, H. (2020). Medication use in schools: Current trends, challenges, and best practices. </w:t>
      </w:r>
      <w:r>
        <w:rPr>
          <w:rFonts w:ascii="Arial" w:eastAsia="Arial" w:hAnsi="Arial" w:cs="Arial"/>
          <w:i/>
          <w:sz w:val="22"/>
          <w:szCs w:val="22"/>
        </w:rPr>
        <w:t>J Pediatr Pharmacol Ther</w:t>
      </w:r>
      <w:r>
        <w:rPr>
          <w:rFonts w:ascii="Arial" w:eastAsia="Arial" w:hAnsi="Arial" w:cs="Arial"/>
          <w:sz w:val="22"/>
          <w:szCs w:val="22"/>
        </w:rPr>
        <w:t>., 25(1): 7–24. doi: 10.5863/1551-6776-25.1.7</w:t>
      </w:r>
    </w:p>
    <w:p w14:paraId="00000076" w14:textId="77777777" w:rsidR="0097711A" w:rsidRDefault="00000000">
      <w:pPr>
        <w:spacing w:line="360" w:lineRule="auto"/>
        <w:ind w:left="720" w:right="341"/>
        <w:rPr>
          <w:rFonts w:ascii="Arial" w:eastAsia="Arial" w:hAnsi="Arial" w:cs="Arial"/>
          <w:color w:val="000000"/>
          <w:sz w:val="22"/>
          <w:szCs w:val="22"/>
        </w:rPr>
      </w:pPr>
      <w:r>
        <w:rPr>
          <w:rFonts w:ascii="Arial" w:eastAsia="Arial" w:hAnsi="Arial" w:cs="Arial"/>
          <w:sz w:val="22"/>
          <w:szCs w:val="22"/>
        </w:rPr>
        <w:t xml:space="preserve">Campbell, R.L., &amp; Kelso, J.M. (2020). Anaphylaxis: Emergency treatment in a R.M. Walls and A.G. Randolph (Eds.), </w:t>
      </w:r>
      <w:r>
        <w:rPr>
          <w:rFonts w:ascii="Arial" w:eastAsia="Arial" w:hAnsi="Arial" w:cs="Arial"/>
          <w:i/>
          <w:sz w:val="22"/>
          <w:szCs w:val="22"/>
        </w:rPr>
        <w:t>UpToDate</w:t>
      </w:r>
      <w:r>
        <w:rPr>
          <w:rFonts w:ascii="Arial" w:eastAsia="Arial" w:hAnsi="Arial" w:cs="Arial"/>
          <w:sz w:val="22"/>
          <w:szCs w:val="22"/>
        </w:rPr>
        <w:t xml:space="preserve">. Retrieved May 26, 2023, from </w:t>
      </w:r>
      <w:hyperlink r:id="rId11">
        <w:r>
          <w:rPr>
            <w:rFonts w:ascii="Arial" w:eastAsia="Arial" w:hAnsi="Arial" w:cs="Arial"/>
            <w:color w:val="0563C1"/>
            <w:sz w:val="22"/>
            <w:szCs w:val="22"/>
            <w:u w:val="single"/>
          </w:rPr>
          <w:t>https://www.uptodate.com/contents/anaphylaxis-emergency-treatment</w:t>
        </w:r>
      </w:hyperlink>
      <w:r>
        <w:rPr>
          <w:rFonts w:ascii="Arial" w:eastAsia="Arial" w:hAnsi="Arial" w:cs="Arial"/>
          <w:sz w:val="22"/>
          <w:szCs w:val="22"/>
        </w:rPr>
        <w:t xml:space="preserve"> </w:t>
      </w:r>
    </w:p>
    <w:p w14:paraId="00000077" w14:textId="77777777" w:rsidR="0097711A" w:rsidRDefault="00000000">
      <w:pPr>
        <w:spacing w:line="360" w:lineRule="auto"/>
        <w:ind w:left="720" w:right="218"/>
        <w:rPr>
          <w:rFonts w:ascii="Arial" w:eastAsia="Arial" w:hAnsi="Arial" w:cs="Arial"/>
          <w:sz w:val="22"/>
          <w:szCs w:val="22"/>
        </w:rPr>
      </w:pPr>
      <w:r>
        <w:rPr>
          <w:rFonts w:ascii="Arial" w:eastAsia="Arial" w:hAnsi="Arial" w:cs="Arial"/>
          <w:sz w:val="22"/>
          <w:szCs w:val="22"/>
        </w:rPr>
        <w:t xml:space="preserve">Children’s Hospital St. Louis. (2017, June). </w:t>
      </w:r>
      <w:r>
        <w:rPr>
          <w:rFonts w:ascii="Arial" w:eastAsia="Arial" w:hAnsi="Arial" w:cs="Arial"/>
          <w:i/>
          <w:sz w:val="22"/>
          <w:szCs w:val="22"/>
        </w:rPr>
        <w:t>Emergency preparedness/response. Food allergy management and education</w:t>
      </w:r>
      <w:r>
        <w:rPr>
          <w:rFonts w:ascii="Arial" w:eastAsia="Arial" w:hAnsi="Arial" w:cs="Arial"/>
          <w:sz w:val="22"/>
          <w:szCs w:val="22"/>
        </w:rPr>
        <w:t xml:space="preserve">. Retrieved June 21, 2023, from </w:t>
      </w:r>
      <w:hyperlink r:id="rId12">
        <w:r>
          <w:rPr>
            <w:rFonts w:ascii="Arial" w:eastAsia="Arial" w:hAnsi="Arial" w:cs="Arial"/>
            <w:color w:val="1155CC"/>
            <w:sz w:val="22"/>
            <w:szCs w:val="22"/>
            <w:u w:val="single"/>
          </w:rPr>
          <w:t>https://www.stlouischildrens.org/sites/legacy/files/pdfs/FAMEToolkit2017-section1-emergency.pdf</w:t>
        </w:r>
      </w:hyperlink>
      <w:r>
        <w:rPr>
          <w:rFonts w:ascii="Arial" w:eastAsia="Arial" w:hAnsi="Arial" w:cs="Arial"/>
          <w:sz w:val="22"/>
          <w:szCs w:val="22"/>
        </w:rPr>
        <w:t xml:space="preserve"> </w:t>
      </w:r>
    </w:p>
    <w:p w14:paraId="00000078" w14:textId="77777777" w:rsidR="0097711A" w:rsidRDefault="00000000">
      <w:pPr>
        <w:spacing w:line="360" w:lineRule="auto"/>
        <w:ind w:left="720" w:right="341" w:hanging="720"/>
        <w:rPr>
          <w:rFonts w:ascii="Arial" w:eastAsia="Arial" w:hAnsi="Arial" w:cs="Arial"/>
          <w:sz w:val="22"/>
          <w:szCs w:val="22"/>
        </w:rPr>
      </w:pPr>
      <w:r>
        <w:rPr>
          <w:rFonts w:ascii="Arial" w:eastAsia="Arial" w:hAnsi="Arial" w:cs="Arial"/>
          <w:sz w:val="22"/>
          <w:szCs w:val="22"/>
        </w:rPr>
        <w:t xml:space="preserve">Food Allergy Research &amp; Education. (2020, May). </w:t>
      </w:r>
      <w:r>
        <w:rPr>
          <w:rFonts w:ascii="Arial" w:eastAsia="Arial" w:hAnsi="Arial" w:cs="Arial"/>
          <w:i/>
          <w:sz w:val="22"/>
          <w:szCs w:val="22"/>
        </w:rPr>
        <w:t xml:space="preserve">Food allergy &amp; anaphylaxis emergency care plan. </w:t>
      </w:r>
      <w:r>
        <w:rPr>
          <w:rFonts w:ascii="Arial" w:eastAsia="Arial" w:hAnsi="Arial" w:cs="Arial"/>
          <w:sz w:val="22"/>
          <w:szCs w:val="22"/>
        </w:rPr>
        <w:t xml:space="preserve">Retrieved May 26, 2023, from </w:t>
      </w:r>
      <w:hyperlink r:id="rId13">
        <w:r>
          <w:rPr>
            <w:rFonts w:ascii="Arial" w:eastAsia="Arial" w:hAnsi="Arial" w:cs="Arial"/>
            <w:color w:val="1155CC"/>
            <w:sz w:val="22"/>
            <w:szCs w:val="22"/>
            <w:u w:val="single"/>
          </w:rPr>
          <w:t>https://www.foodallergy.org/living-food-allergies/food-allergy-essentials/food-allergy-anaphylaxis-emergency-care-plan</w:t>
        </w:r>
      </w:hyperlink>
      <w:r>
        <w:rPr>
          <w:rFonts w:ascii="Arial" w:eastAsia="Arial" w:hAnsi="Arial" w:cs="Arial"/>
          <w:sz w:val="22"/>
          <w:szCs w:val="22"/>
        </w:rPr>
        <w:t xml:space="preserve"> </w:t>
      </w:r>
    </w:p>
    <w:p w14:paraId="00000079" w14:textId="77777777" w:rsidR="0097711A" w:rsidRDefault="00000000">
      <w:pPr>
        <w:spacing w:line="360" w:lineRule="auto"/>
        <w:ind w:left="720" w:right="341" w:hanging="720"/>
        <w:rPr>
          <w:rFonts w:ascii="Arial" w:eastAsia="Arial" w:hAnsi="Arial" w:cs="Arial"/>
          <w:sz w:val="22"/>
          <w:szCs w:val="22"/>
        </w:rPr>
      </w:pPr>
      <w:r>
        <w:rPr>
          <w:rFonts w:ascii="Arial" w:eastAsia="Arial" w:hAnsi="Arial" w:cs="Arial"/>
          <w:sz w:val="22"/>
          <w:szCs w:val="22"/>
        </w:rPr>
        <w:t xml:space="preserve">Food Allergy Research &amp; Education. (n.d.). </w:t>
      </w:r>
      <w:r>
        <w:rPr>
          <w:rFonts w:ascii="Arial" w:eastAsia="Arial" w:hAnsi="Arial" w:cs="Arial"/>
          <w:i/>
          <w:sz w:val="22"/>
          <w:szCs w:val="22"/>
        </w:rPr>
        <w:t xml:space="preserve">Symptoms. </w:t>
      </w:r>
      <w:r>
        <w:rPr>
          <w:rFonts w:ascii="Arial" w:eastAsia="Arial" w:hAnsi="Arial" w:cs="Arial"/>
          <w:sz w:val="22"/>
          <w:szCs w:val="22"/>
        </w:rPr>
        <w:t>Retrieved May 26, 2023, from</w:t>
      </w:r>
      <w:r>
        <w:rPr>
          <w:rFonts w:ascii="Arial" w:eastAsia="Arial" w:hAnsi="Arial" w:cs="Arial"/>
          <w:i/>
          <w:sz w:val="22"/>
          <w:szCs w:val="22"/>
        </w:rPr>
        <w:t xml:space="preserve">   </w:t>
      </w:r>
      <w:hyperlink r:id="rId14">
        <w:r>
          <w:rPr>
            <w:rFonts w:ascii="Arial" w:eastAsia="Arial" w:hAnsi="Arial" w:cs="Arial"/>
            <w:color w:val="0563C1"/>
            <w:sz w:val="22"/>
            <w:szCs w:val="22"/>
            <w:u w:val="single"/>
          </w:rPr>
          <w:t>http://www.foodallergy.org/symptoms</w:t>
        </w:r>
      </w:hyperlink>
    </w:p>
    <w:p w14:paraId="0000007A" w14:textId="77777777" w:rsidR="0097711A" w:rsidRDefault="00000000">
      <w:pPr>
        <w:spacing w:line="360" w:lineRule="auto"/>
        <w:ind w:left="720" w:right="341" w:hanging="720"/>
        <w:rPr>
          <w:rFonts w:ascii="Arial" w:eastAsia="Arial" w:hAnsi="Arial" w:cs="Arial"/>
          <w:sz w:val="22"/>
          <w:szCs w:val="22"/>
        </w:rPr>
      </w:pPr>
      <w:r>
        <w:rPr>
          <w:rFonts w:ascii="Arial" w:eastAsia="Arial" w:hAnsi="Arial" w:cs="Arial"/>
          <w:sz w:val="22"/>
          <w:szCs w:val="22"/>
        </w:rPr>
        <w:t xml:space="preserve">Missouri Department of Health and Senior Services. (2020). </w:t>
      </w:r>
      <w:r>
        <w:rPr>
          <w:rFonts w:ascii="Arial" w:eastAsia="Arial" w:hAnsi="Arial" w:cs="Arial"/>
          <w:i/>
          <w:sz w:val="22"/>
          <w:szCs w:val="22"/>
        </w:rPr>
        <w:t>Emergency guidelines for schools and childcare facilities</w:t>
      </w:r>
      <w:r>
        <w:rPr>
          <w:rFonts w:ascii="Arial" w:eastAsia="Arial" w:hAnsi="Arial" w:cs="Arial"/>
          <w:sz w:val="22"/>
          <w:szCs w:val="22"/>
        </w:rPr>
        <w:t xml:space="preserve">. Retrieved May 26, 2023 from </w:t>
      </w:r>
      <w:hyperlink r:id="rId15">
        <w:r>
          <w:rPr>
            <w:rFonts w:ascii="Arial" w:eastAsia="Arial" w:hAnsi="Arial" w:cs="Arial"/>
            <w:color w:val="0563C1"/>
            <w:sz w:val="22"/>
            <w:szCs w:val="22"/>
            <w:u w:val="single"/>
          </w:rPr>
          <w:t>https://health.mo.gov/living/families/schoolhealth/pdf/emergency-guidelines-for-schools-and-childcare.pdf</w:t>
        </w:r>
      </w:hyperlink>
      <w:r>
        <w:rPr>
          <w:rFonts w:ascii="Arial" w:eastAsia="Arial" w:hAnsi="Arial" w:cs="Arial"/>
          <w:sz w:val="22"/>
          <w:szCs w:val="22"/>
        </w:rPr>
        <w:t> </w:t>
      </w:r>
    </w:p>
    <w:p w14:paraId="0000007B" w14:textId="77777777" w:rsidR="0097711A" w:rsidRDefault="00000000">
      <w:pPr>
        <w:spacing w:line="360" w:lineRule="auto"/>
        <w:ind w:left="720" w:right="341" w:hanging="720"/>
        <w:rPr>
          <w:rFonts w:ascii="Arial" w:eastAsia="Arial" w:hAnsi="Arial" w:cs="Arial"/>
          <w:sz w:val="22"/>
          <w:szCs w:val="22"/>
        </w:rPr>
      </w:pPr>
      <w:r>
        <w:rPr>
          <w:rFonts w:ascii="Arial" w:eastAsia="Arial" w:hAnsi="Arial" w:cs="Arial"/>
          <w:sz w:val="22"/>
          <w:szCs w:val="22"/>
        </w:rPr>
        <w:lastRenderedPageBreak/>
        <w:t>Missouri Department of Health and Senior Services. (2014).</w:t>
      </w:r>
      <w:r>
        <w:rPr>
          <w:rFonts w:ascii="Arial" w:eastAsia="Arial" w:hAnsi="Arial" w:cs="Arial"/>
          <w:i/>
          <w:sz w:val="22"/>
          <w:szCs w:val="22"/>
        </w:rPr>
        <w:t xml:space="preserve"> Guidelines for allergy prevention and response</w:t>
      </w:r>
      <w:r>
        <w:rPr>
          <w:rFonts w:ascii="Arial" w:eastAsia="Arial" w:hAnsi="Arial" w:cs="Arial"/>
          <w:sz w:val="22"/>
          <w:szCs w:val="22"/>
        </w:rPr>
        <w:t xml:space="preserve">. Retrieved May 26, 2023, from </w:t>
      </w:r>
      <w:hyperlink r:id="rId16">
        <w:r>
          <w:rPr>
            <w:rFonts w:ascii="Arial" w:eastAsia="Arial" w:hAnsi="Arial" w:cs="Arial"/>
            <w:color w:val="0563C1"/>
            <w:sz w:val="22"/>
            <w:szCs w:val="22"/>
            <w:u w:val="single"/>
          </w:rPr>
          <w:t>https://health.mo.gov/living/families/schoolhealth/pdf/mo_allergy_manual.pdf</w:t>
        </w:r>
      </w:hyperlink>
      <w:r>
        <w:rPr>
          <w:rFonts w:ascii="Arial" w:eastAsia="Arial" w:hAnsi="Arial" w:cs="Arial"/>
          <w:sz w:val="22"/>
          <w:szCs w:val="22"/>
        </w:rPr>
        <w:t xml:space="preserve"> </w:t>
      </w:r>
    </w:p>
    <w:p w14:paraId="0000007C" w14:textId="77777777" w:rsidR="0097711A" w:rsidRDefault="00000000">
      <w:pPr>
        <w:spacing w:line="360" w:lineRule="auto"/>
        <w:ind w:left="720" w:hanging="720"/>
        <w:rPr>
          <w:rFonts w:ascii="Arial" w:eastAsia="Arial" w:hAnsi="Arial" w:cs="Arial"/>
          <w:sz w:val="22"/>
          <w:szCs w:val="22"/>
        </w:rPr>
      </w:pPr>
      <w:r>
        <w:rPr>
          <w:rFonts w:ascii="Arial" w:eastAsia="Arial" w:hAnsi="Arial" w:cs="Arial"/>
          <w:sz w:val="22"/>
          <w:szCs w:val="22"/>
        </w:rPr>
        <w:t xml:space="preserve">Missouri Revised Statute: 167.627.1 RSMo. (2010). Possession and self-administration of medication in school—requirements. Retrieved June 202, 2023, from </w:t>
      </w:r>
      <w:hyperlink r:id="rId17">
        <w:r>
          <w:rPr>
            <w:rFonts w:ascii="Arial" w:eastAsia="Arial" w:hAnsi="Arial" w:cs="Arial"/>
            <w:color w:val="0563C1"/>
            <w:sz w:val="22"/>
            <w:szCs w:val="22"/>
            <w:u w:val="single"/>
          </w:rPr>
          <w:t>https://revisor.mo.gov/main/OneSection.aspx?section=167.627</w:t>
        </w:r>
      </w:hyperlink>
      <w:r>
        <w:rPr>
          <w:rFonts w:ascii="Arial" w:eastAsia="Arial" w:hAnsi="Arial" w:cs="Arial"/>
          <w:sz w:val="22"/>
          <w:szCs w:val="22"/>
        </w:rPr>
        <w:t> </w:t>
      </w:r>
    </w:p>
    <w:p w14:paraId="0000007D" w14:textId="77777777" w:rsidR="0097711A" w:rsidRDefault="00000000">
      <w:pPr>
        <w:spacing w:line="360" w:lineRule="auto"/>
        <w:ind w:left="720" w:hanging="720"/>
        <w:rPr>
          <w:rFonts w:ascii="Arial" w:eastAsia="Arial" w:hAnsi="Arial" w:cs="Arial"/>
          <w:sz w:val="22"/>
          <w:szCs w:val="22"/>
        </w:rPr>
      </w:pPr>
      <w:r>
        <w:rPr>
          <w:rFonts w:ascii="Arial" w:eastAsia="Arial" w:hAnsi="Arial" w:cs="Arial"/>
          <w:sz w:val="22"/>
          <w:szCs w:val="22"/>
        </w:rPr>
        <w:t xml:space="preserve">US WorldMeds. (2021, August). </w:t>
      </w:r>
      <w:r>
        <w:rPr>
          <w:rFonts w:ascii="Arial" w:eastAsia="Arial" w:hAnsi="Arial" w:cs="Arial"/>
          <w:i/>
          <w:sz w:val="22"/>
          <w:szCs w:val="22"/>
        </w:rPr>
        <w:t>Steps for giving a SYMJEPI injection</w:t>
      </w:r>
      <w:r>
        <w:rPr>
          <w:rFonts w:ascii="Arial" w:eastAsia="Arial" w:hAnsi="Arial" w:cs="Arial"/>
          <w:sz w:val="22"/>
          <w:szCs w:val="22"/>
        </w:rPr>
        <w:t xml:space="preserve">. Retrieved June 1, 2023, from </w:t>
      </w:r>
      <w:hyperlink r:id="rId18">
        <w:r>
          <w:rPr>
            <w:rFonts w:ascii="Arial" w:eastAsia="Arial" w:hAnsi="Arial" w:cs="Arial"/>
            <w:color w:val="0563C1"/>
            <w:sz w:val="22"/>
            <w:szCs w:val="22"/>
            <w:u w:val="single"/>
          </w:rPr>
          <w:t>https://www.symjepi.com/how_to_use_symjepi</w:t>
        </w:r>
      </w:hyperlink>
    </w:p>
    <w:sectPr w:rsidR="0097711A">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5A0F4A" w14:textId="77777777" w:rsidR="000D7D0E" w:rsidRDefault="000D7D0E">
      <w:r>
        <w:separator/>
      </w:r>
    </w:p>
  </w:endnote>
  <w:endnote w:type="continuationSeparator" w:id="0">
    <w:p w14:paraId="20C50792" w14:textId="77777777" w:rsidR="000D7D0E" w:rsidRDefault="000D7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E15CF865-0CB5-46E9-8314-9B04F779A0BC}"/>
  </w:font>
  <w:font w:name="Calibri">
    <w:panose1 w:val="020F0502020204030204"/>
    <w:charset w:val="00"/>
    <w:family w:val="swiss"/>
    <w:pitch w:val="variable"/>
    <w:sig w:usb0="E4002EFF" w:usb1="C200247B" w:usb2="00000009" w:usb3="00000000" w:csb0="000001FF" w:csb1="00000000"/>
    <w:embedRegular r:id="rId2" w:fontKey="{B24B08C9-83A9-4776-809E-D72C9F010209}"/>
    <w:embedBold r:id="rId3" w:fontKey="{DB4C4CD9-061C-458E-992A-00588B5D6525}"/>
  </w:font>
  <w:font w:name="Georgia">
    <w:panose1 w:val="02040502050405020303"/>
    <w:charset w:val="00"/>
    <w:family w:val="roman"/>
    <w:pitch w:val="variable"/>
    <w:sig w:usb0="00000287" w:usb1="00000000" w:usb2="00000000" w:usb3="00000000" w:csb0="0000009F" w:csb1="00000000"/>
    <w:embedRegular r:id="rId4" w:fontKey="{F5644619-8BC0-45B5-8E28-D710ABE5DFD5}"/>
    <w:embedItalic r:id="rId5" w:fontKey="{52FC5794-3906-4437-B1E3-80EBBB6E4409}"/>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6" w:fontKey="{70B5A34C-4641-45C9-9ABE-BCC07A7A34A4}"/>
    <w:embedItalic r:id="rId7" w:fontKey="{71F523BF-F377-4980-9616-2B4E4894C89B}"/>
  </w:font>
  <w:font w:name="Calibri Light">
    <w:panose1 w:val="020F0302020204030204"/>
    <w:charset w:val="00"/>
    <w:family w:val="swiss"/>
    <w:pitch w:val="variable"/>
    <w:sig w:usb0="E4002EFF" w:usb1="C200247B" w:usb2="00000009" w:usb3="00000000" w:csb0="000001FF" w:csb1="00000000"/>
    <w:embedRegular r:id="rId8" w:fontKey="{884297A7-7DDE-447B-AAA6-833C45836A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1" w14:textId="77777777" w:rsidR="0097711A" w:rsidRDefault="0097711A">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3" w14:textId="7A46BB19" w:rsidR="0097711A" w:rsidRDefault="00000000">
    <w:pPr>
      <w:pBdr>
        <w:top w:val="nil"/>
        <w:left w:val="nil"/>
        <w:bottom w:val="nil"/>
        <w:right w:val="nil"/>
        <w:between w:val="nil"/>
      </w:pBdr>
      <w:tabs>
        <w:tab w:val="center" w:pos="4680"/>
        <w:tab w:val="right" w:pos="9360"/>
      </w:tabs>
      <w:rPr>
        <w:color w:val="000000"/>
      </w:rPr>
    </w:pPr>
    <w:r>
      <w:rPr>
        <w:color w:val="7F7F7F"/>
      </w:rPr>
      <w:t>Page</w:t>
    </w:r>
    <w:r>
      <w:rPr>
        <w:color w:val="000000"/>
      </w:rPr>
      <w:t xml:space="preserve"> | </w:t>
    </w:r>
    <w:r>
      <w:rPr>
        <w:color w:val="000000"/>
      </w:rPr>
      <w:fldChar w:fldCharType="begin"/>
    </w:r>
    <w:r>
      <w:rPr>
        <w:color w:val="000000"/>
      </w:rPr>
      <w:instrText>PAGE</w:instrText>
    </w:r>
    <w:r>
      <w:rPr>
        <w:color w:val="000000"/>
      </w:rPr>
      <w:fldChar w:fldCharType="separate"/>
    </w:r>
    <w:r w:rsidR="00F947C8">
      <w:rPr>
        <w:noProof/>
        <w:color w:val="000000"/>
      </w:rPr>
      <w:t>1</w:t>
    </w:r>
    <w:r>
      <w:rPr>
        <w:color w:val="000000"/>
      </w:rPr>
      <w:fldChar w:fldCharType="end"/>
    </w:r>
    <w:r>
      <w:rPr>
        <w:b/>
        <w:color w:val="000000"/>
      </w:rPr>
      <w:tab/>
    </w:r>
    <w:r>
      <w:rPr>
        <w:b/>
        <w:color w:val="000000"/>
      </w:rPr>
      <w:tab/>
      <w:t>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2" w14:textId="77777777" w:rsidR="0097711A" w:rsidRDefault="0097711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60DC2" w14:textId="77777777" w:rsidR="000D7D0E" w:rsidRDefault="000D7D0E">
      <w:r>
        <w:separator/>
      </w:r>
    </w:p>
  </w:footnote>
  <w:footnote w:type="continuationSeparator" w:id="0">
    <w:p w14:paraId="5142B25E" w14:textId="77777777" w:rsidR="000D7D0E" w:rsidRDefault="000D7D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F" w14:textId="77777777" w:rsidR="0097711A" w:rsidRDefault="0097711A">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E" w14:textId="77777777" w:rsidR="0097711A" w:rsidRDefault="0097711A">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0" w14:textId="77777777" w:rsidR="0097711A" w:rsidRDefault="0097711A">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74422C"/>
    <w:multiLevelType w:val="multilevel"/>
    <w:tmpl w:val="958EED78"/>
    <w:lvl w:ilvl="0">
      <w:start w:val="1"/>
      <w:numFmt w:val="decimal"/>
      <w:lvlText w:val="%1."/>
      <w:lvlJc w:val="left"/>
      <w:pPr>
        <w:ind w:left="720" w:hanging="360"/>
      </w:pPr>
    </w:lvl>
    <w:lvl w:ilvl="1">
      <w:start w:val="1"/>
      <w:numFmt w:val="decimal"/>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C643F8"/>
    <w:multiLevelType w:val="multilevel"/>
    <w:tmpl w:val="9A60DA4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E25A08"/>
    <w:multiLevelType w:val="multilevel"/>
    <w:tmpl w:val="4FF493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F5A2D48"/>
    <w:multiLevelType w:val="multilevel"/>
    <w:tmpl w:val="DD8E11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510336C4"/>
    <w:multiLevelType w:val="multilevel"/>
    <w:tmpl w:val="7794D2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B1444C4"/>
    <w:multiLevelType w:val="multilevel"/>
    <w:tmpl w:val="A1F0FC80"/>
    <w:lvl w:ilvl="0">
      <w:start w:val="1"/>
      <w:numFmt w:val="decimal"/>
      <w:lvlText w:val="%1."/>
      <w:lvlJc w:val="left"/>
      <w:pPr>
        <w:ind w:left="720" w:hanging="360"/>
      </w:pPr>
    </w:lvl>
    <w:lvl w:ilvl="1">
      <w:start w:val="1"/>
      <w:numFmt w:val="decimal"/>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67C6B0B"/>
    <w:multiLevelType w:val="multilevel"/>
    <w:tmpl w:val="AD0081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A23071E"/>
    <w:multiLevelType w:val="multilevel"/>
    <w:tmpl w:val="7EBC5E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8F05458"/>
    <w:multiLevelType w:val="multilevel"/>
    <w:tmpl w:val="10760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CE64631"/>
    <w:multiLevelType w:val="multilevel"/>
    <w:tmpl w:val="1B5E23A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92038019">
    <w:abstractNumId w:val="6"/>
  </w:num>
  <w:num w:numId="2" w16cid:durableId="1088505830">
    <w:abstractNumId w:val="0"/>
  </w:num>
  <w:num w:numId="3" w16cid:durableId="654069832">
    <w:abstractNumId w:val="8"/>
  </w:num>
  <w:num w:numId="4" w16cid:durableId="1784811890">
    <w:abstractNumId w:val="4"/>
  </w:num>
  <w:num w:numId="5" w16cid:durableId="878082530">
    <w:abstractNumId w:val="5"/>
  </w:num>
  <w:num w:numId="6" w16cid:durableId="1146512268">
    <w:abstractNumId w:val="3"/>
  </w:num>
  <w:num w:numId="7" w16cid:durableId="1897206802">
    <w:abstractNumId w:val="2"/>
  </w:num>
  <w:num w:numId="8" w16cid:durableId="1615869254">
    <w:abstractNumId w:val="1"/>
  </w:num>
  <w:num w:numId="9" w16cid:durableId="2025547902">
    <w:abstractNumId w:val="9"/>
  </w:num>
  <w:num w:numId="10" w16cid:durableId="3481405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11A"/>
    <w:rsid w:val="000D7D0E"/>
    <w:rsid w:val="0097711A"/>
    <w:rsid w:val="00BC1980"/>
    <w:rsid w:val="00F947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28004AD3-C643-47CC-B77E-069A31A6D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330"/>
    <w:rPr>
      <w:rFonts w:eastAsiaTheme="minorEastAsi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EC5330"/>
    <w:pPr>
      <w:ind w:left="720"/>
      <w:contextualSpacing/>
    </w:pPr>
  </w:style>
  <w:style w:type="character" w:styleId="Hyperlink">
    <w:name w:val="Hyperlink"/>
    <w:basedOn w:val="DefaultParagraphFont"/>
    <w:uiPriority w:val="99"/>
    <w:unhideWhenUsed/>
    <w:rsid w:val="008A4FFC"/>
    <w:rPr>
      <w:color w:val="0563C1" w:themeColor="hyperlink"/>
      <w:u w:val="single"/>
    </w:rPr>
  </w:style>
  <w:style w:type="character" w:styleId="UnresolvedMention">
    <w:name w:val="Unresolved Mention"/>
    <w:basedOn w:val="DefaultParagraphFont"/>
    <w:uiPriority w:val="99"/>
    <w:semiHidden/>
    <w:unhideWhenUsed/>
    <w:rsid w:val="008A4FFC"/>
    <w:rPr>
      <w:color w:val="605E5C"/>
      <w:shd w:val="clear" w:color="auto" w:fill="E1DFDD"/>
    </w:rPr>
  </w:style>
  <w:style w:type="paragraph" w:styleId="Header">
    <w:name w:val="header"/>
    <w:basedOn w:val="Normal"/>
    <w:link w:val="HeaderChar"/>
    <w:uiPriority w:val="99"/>
    <w:unhideWhenUsed/>
    <w:rsid w:val="001B2BE3"/>
    <w:pPr>
      <w:tabs>
        <w:tab w:val="center" w:pos="4680"/>
        <w:tab w:val="right" w:pos="9360"/>
      </w:tabs>
    </w:pPr>
  </w:style>
  <w:style w:type="character" w:customStyle="1" w:styleId="HeaderChar">
    <w:name w:val="Header Char"/>
    <w:basedOn w:val="DefaultParagraphFont"/>
    <w:link w:val="Header"/>
    <w:uiPriority w:val="99"/>
    <w:rsid w:val="001B2BE3"/>
    <w:rPr>
      <w:rFonts w:eastAsiaTheme="minorEastAsia"/>
      <w:sz w:val="24"/>
      <w:szCs w:val="24"/>
    </w:rPr>
  </w:style>
  <w:style w:type="paragraph" w:styleId="Footer">
    <w:name w:val="footer"/>
    <w:basedOn w:val="Normal"/>
    <w:link w:val="FooterChar"/>
    <w:uiPriority w:val="99"/>
    <w:unhideWhenUsed/>
    <w:rsid w:val="001B2BE3"/>
    <w:pPr>
      <w:tabs>
        <w:tab w:val="center" w:pos="4680"/>
        <w:tab w:val="right" w:pos="9360"/>
      </w:tabs>
    </w:pPr>
  </w:style>
  <w:style w:type="character" w:customStyle="1" w:styleId="FooterChar">
    <w:name w:val="Footer Char"/>
    <w:basedOn w:val="DefaultParagraphFont"/>
    <w:link w:val="Footer"/>
    <w:uiPriority w:val="99"/>
    <w:rsid w:val="001B2BE3"/>
    <w:rPr>
      <w:rFonts w:eastAsiaTheme="minorEastAsia"/>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EastAsia"/>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evisor.mo.gov/main/OneChapter.aspx?chapter=335" TargetMode="External"/><Relationship Id="rId13" Type="http://schemas.openxmlformats.org/officeDocument/2006/relationships/hyperlink" Target="https://www.foodallergy.org/living-food-allergies/food-allergy-essentials/food-allergy-anaphylaxis-emergency-care-plan" TargetMode="External"/><Relationship Id="rId18" Type="http://schemas.openxmlformats.org/officeDocument/2006/relationships/hyperlink" Target="https://www.symjepi.com/how_to_use_symjepi"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tlouischildrens.org/sites/legacy/files/pdfs/FAMEToolkit2017-section1-emergency.pdf" TargetMode="External"/><Relationship Id="rId17" Type="http://schemas.openxmlformats.org/officeDocument/2006/relationships/hyperlink" Target="https://revisor.mo.gov/main/OneSection.aspx?section=167.627"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health.mo.gov/living/families/schoolhealth/pdf/mo_allergy_manual.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ptodate.com/contents/anaphylaxis-emergency-treatment"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health.mo.gov/living/families/schoolhealth/pdf/emergency-guidelines-for-schools-and-childcare.pdf" TargetMode="External"/><Relationship Id="rId23" Type="http://schemas.openxmlformats.org/officeDocument/2006/relationships/header" Target="header3.xml"/><Relationship Id="rId10" Type="http://schemas.openxmlformats.org/officeDocument/2006/relationships/hyperlink" Target="https://doi.org/10.1177/1942602X211021902"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revisor.mo.gov/main/OneSection.aspx?section=167.624" TargetMode="External"/><Relationship Id="rId14" Type="http://schemas.openxmlformats.org/officeDocument/2006/relationships/hyperlink" Target="http://www.foodallergy.org/symptoms"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HLGguT73UFQxaN7PDjh62VjQgQ==">CgMxLjA4AHIhMVAtX3ZJUWNIX3dEaEVKSUlUaFowc3ROc01hMTRIMmRi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1989</Words>
  <Characters>11343</Characters>
  <Application>Microsoft Office Word</Application>
  <DocSecurity>0</DocSecurity>
  <Lines>94</Lines>
  <Paragraphs>26</Paragraphs>
  <ScaleCrop>false</ScaleCrop>
  <Company/>
  <LinksUpToDate>false</LinksUpToDate>
  <CharactersWithSpaces>13306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DuChateau</dc:creator>
  <cp:lastModifiedBy>Teresa DuChateau</cp:lastModifiedBy>
  <cp:revision>2</cp:revision>
  <dcterms:created xsi:type="dcterms:W3CDTF">2025-02-28T22:41:00Z</dcterms:created>
  <dcterms:modified xsi:type="dcterms:W3CDTF">2025-02-28T22:41:00Z</dcterms:modified>
</cp:coreProperties>
</file>