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60" w:rsidRDefault="006A3860" w:rsidP="004A7B9C">
      <w:pPr>
        <w:autoSpaceDE w:val="0"/>
        <w:autoSpaceDN w:val="0"/>
        <w:adjustRightInd w:val="0"/>
        <w:spacing w:after="0" w:line="360" w:lineRule="auto"/>
        <w:rPr>
          <w:rFonts w:ascii="Times New Roman" w:eastAsia="Calibri" w:hAnsi="Times New Roman" w:cs="Times New Roman"/>
          <w:b/>
          <w:sz w:val="24"/>
        </w:rPr>
      </w:pPr>
      <w:r>
        <w:rPr>
          <w:rFonts w:ascii="Times New Roman" w:eastAsia="Calibri" w:hAnsi="Times New Roman" w:cs="Times New Roman"/>
          <w:b/>
          <w:sz w:val="24"/>
        </w:rPr>
        <w:t>Glucagon Administration</w:t>
      </w:r>
    </w:p>
    <w:p w:rsidR="006A3860" w:rsidRDefault="006A3860" w:rsidP="004A7B9C">
      <w:pPr>
        <w:autoSpaceDE w:val="0"/>
        <w:autoSpaceDN w:val="0"/>
        <w:adjustRightInd w:val="0"/>
        <w:spacing w:after="0" w:line="360" w:lineRule="auto"/>
        <w:rPr>
          <w:rFonts w:ascii="Times New Roman" w:eastAsia="Calibri" w:hAnsi="Times New Roman" w:cs="Times New Roman"/>
          <w:b/>
          <w:sz w:val="24"/>
        </w:rPr>
      </w:pPr>
    </w:p>
    <w:p w:rsidR="004A7B9C" w:rsidRPr="004A7B9C" w:rsidRDefault="006A3860" w:rsidP="006A3860">
      <w:pPr>
        <w:autoSpaceDE w:val="0"/>
        <w:autoSpaceDN w:val="0"/>
        <w:adjustRightInd w:val="0"/>
        <w:spacing w:after="0" w:line="240" w:lineRule="auto"/>
        <w:contextualSpacing/>
        <w:rPr>
          <w:rFonts w:ascii="Times New Roman" w:eastAsia="Calibri" w:hAnsi="Times New Roman" w:cs="Times New Roman"/>
          <w:b/>
          <w:sz w:val="24"/>
        </w:rPr>
      </w:pPr>
      <w:r>
        <w:rPr>
          <w:rFonts w:ascii="Times New Roman" w:eastAsia="Calibri" w:hAnsi="Times New Roman" w:cs="Times New Roman"/>
          <w:b/>
          <w:sz w:val="24"/>
        </w:rPr>
        <w:t>Things to consider:</w:t>
      </w:r>
    </w:p>
    <w:p w:rsidR="004A7B9C" w:rsidRPr="004A7B9C" w:rsidRDefault="004A7B9C" w:rsidP="006A3860">
      <w:pPr>
        <w:numPr>
          <w:ilvl w:val="0"/>
          <w:numId w:val="2"/>
        </w:numPr>
        <w:tabs>
          <w:tab w:val="num" w:pos="2160"/>
        </w:tabs>
        <w:autoSpaceDE w:val="0"/>
        <w:autoSpaceDN w:val="0"/>
        <w:adjustRightInd w:val="0"/>
        <w:spacing w:after="0" w:line="24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 xml:space="preserve">Most students with diabetes will have an order for the use of glucagon if needed, however, Wisconsin Statute chapter 118.29 allows glucagon to be given to any student who is known to have diabetes and is believed to be experiencing a severe low blood sugar. </w:t>
      </w:r>
    </w:p>
    <w:p w:rsidR="004A7B9C" w:rsidRPr="004A7B9C" w:rsidRDefault="004A7B9C" w:rsidP="004A7B9C">
      <w:pPr>
        <w:numPr>
          <w:ilvl w:val="0"/>
          <w:numId w:val="2"/>
        </w:numPr>
        <w:tabs>
          <w:tab w:val="num" w:pos="2160"/>
        </w:tabs>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Low blood sugar in children with diabetes can have varied symptoms.  These can include but are not limited to:</w:t>
      </w:r>
    </w:p>
    <w:p w:rsidR="004A7B9C" w:rsidRPr="004A7B9C" w:rsidRDefault="004A7B9C" w:rsidP="004A7B9C">
      <w:pPr>
        <w:numPr>
          <w:ilvl w:val="1"/>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 xml:space="preserve">nervousness, </w:t>
      </w:r>
    </w:p>
    <w:p w:rsidR="004A7B9C" w:rsidRPr="004A7B9C" w:rsidRDefault="004A7B9C" w:rsidP="004A7B9C">
      <w:pPr>
        <w:numPr>
          <w:ilvl w:val="1"/>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 xml:space="preserve">shakiness, </w:t>
      </w:r>
    </w:p>
    <w:p w:rsidR="004A7B9C" w:rsidRPr="004A7B9C" w:rsidRDefault="004A7B9C" w:rsidP="004A7B9C">
      <w:pPr>
        <w:numPr>
          <w:ilvl w:val="1"/>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 xml:space="preserve">weakness, </w:t>
      </w:r>
    </w:p>
    <w:p w:rsidR="004A7B9C" w:rsidRPr="004A7B9C" w:rsidRDefault="004A7B9C" w:rsidP="004A7B9C">
      <w:pPr>
        <w:numPr>
          <w:ilvl w:val="1"/>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 xml:space="preserve">extreme hunger, </w:t>
      </w:r>
      <w:bookmarkStart w:id="0" w:name="_GoBack"/>
      <w:bookmarkEnd w:id="0"/>
    </w:p>
    <w:p w:rsidR="004A7B9C" w:rsidRPr="004A7B9C" w:rsidRDefault="004A7B9C" w:rsidP="004A7B9C">
      <w:pPr>
        <w:numPr>
          <w:ilvl w:val="1"/>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 xml:space="preserve">slight nausea, </w:t>
      </w:r>
    </w:p>
    <w:p w:rsidR="004A7B9C" w:rsidRPr="004A7B9C" w:rsidRDefault="004A7B9C" w:rsidP="004A7B9C">
      <w:pPr>
        <w:numPr>
          <w:ilvl w:val="1"/>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 xml:space="preserve">dizziness, </w:t>
      </w:r>
    </w:p>
    <w:p w:rsidR="004A7B9C" w:rsidRPr="004A7B9C" w:rsidRDefault="004A7B9C" w:rsidP="004A7B9C">
      <w:pPr>
        <w:numPr>
          <w:ilvl w:val="1"/>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 xml:space="preserve">headache, </w:t>
      </w:r>
    </w:p>
    <w:p w:rsidR="004A7B9C" w:rsidRPr="004A7B9C" w:rsidRDefault="004A7B9C" w:rsidP="004A7B9C">
      <w:pPr>
        <w:numPr>
          <w:ilvl w:val="1"/>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 xml:space="preserve">blurred vision, </w:t>
      </w:r>
    </w:p>
    <w:p w:rsidR="004A7B9C" w:rsidRPr="004A7B9C" w:rsidRDefault="004A7B9C" w:rsidP="004A7B9C">
      <w:pPr>
        <w:numPr>
          <w:ilvl w:val="1"/>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 xml:space="preserve">fast heartbeat and/or, </w:t>
      </w:r>
    </w:p>
    <w:p w:rsidR="004A7B9C" w:rsidRPr="004A7B9C" w:rsidRDefault="004A7B9C" w:rsidP="004A7B9C">
      <w:pPr>
        <w:numPr>
          <w:ilvl w:val="1"/>
          <w:numId w:val="2"/>
        </w:numPr>
        <w:autoSpaceDE w:val="0"/>
        <w:autoSpaceDN w:val="0"/>
        <w:adjustRightInd w:val="0"/>
        <w:spacing w:after="0" w:line="360" w:lineRule="auto"/>
        <w:contextualSpacing/>
        <w:rPr>
          <w:rFonts w:ascii="Times New Roman" w:eastAsia="Calibri" w:hAnsi="Times New Roman" w:cs="Times New Roman"/>
          <w:sz w:val="24"/>
        </w:rPr>
      </w:pPr>
      <w:proofErr w:type="gramStart"/>
      <w:r w:rsidRPr="004A7B9C">
        <w:rPr>
          <w:rFonts w:ascii="Times New Roman" w:eastAsia="Calibri" w:hAnsi="Times New Roman" w:cs="Times New Roman"/>
          <w:sz w:val="24"/>
        </w:rPr>
        <w:t>feeling</w:t>
      </w:r>
      <w:proofErr w:type="gramEnd"/>
      <w:r w:rsidRPr="004A7B9C">
        <w:rPr>
          <w:rFonts w:ascii="Times New Roman" w:eastAsia="Calibri" w:hAnsi="Times New Roman" w:cs="Times New Roman"/>
          <w:sz w:val="24"/>
        </w:rPr>
        <w:t xml:space="preserve"> tired.</w:t>
      </w:r>
    </w:p>
    <w:p w:rsidR="004A7B9C" w:rsidRPr="004A7B9C" w:rsidRDefault="004A7B9C" w:rsidP="004A7B9C">
      <w:pPr>
        <w:numPr>
          <w:ilvl w:val="0"/>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 xml:space="preserve">Based on the child’s individual health plan (also known as a diabetes action plan or diabetes emergency plan), low blood sugar is treated with some type of quick acting oral sugar, such as candy, icing, and/or juice.  </w:t>
      </w:r>
    </w:p>
    <w:p w:rsidR="004A7B9C" w:rsidRPr="004A7B9C" w:rsidRDefault="004A7B9C" w:rsidP="004A7B9C">
      <w:pPr>
        <w:numPr>
          <w:ilvl w:val="0"/>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b/>
          <w:sz w:val="24"/>
        </w:rPr>
        <w:t>Severe</w:t>
      </w:r>
      <w:r w:rsidRPr="004A7B9C">
        <w:rPr>
          <w:rFonts w:ascii="Times New Roman" w:eastAsia="Calibri" w:hAnsi="Times New Roman" w:cs="Times New Roman"/>
          <w:sz w:val="24"/>
        </w:rPr>
        <w:t xml:space="preserve"> low blood sugar symptoms include disorientation, unconsciousness, and seizures.  If not treated promptly, it can lead to death.  </w:t>
      </w:r>
    </w:p>
    <w:p w:rsidR="004A7B9C" w:rsidRPr="004A7B9C" w:rsidRDefault="004A7B9C" w:rsidP="004A7B9C">
      <w:pPr>
        <w:numPr>
          <w:ilvl w:val="0"/>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Glucagon is an injectable medication and is used in emergency situations when the student is unresponsive or unable to swallow because of a very low blood sugar.</w:t>
      </w:r>
    </w:p>
    <w:p w:rsidR="004A7B9C" w:rsidRPr="004A7B9C" w:rsidRDefault="004A7B9C" w:rsidP="004A7B9C">
      <w:pPr>
        <w:numPr>
          <w:ilvl w:val="0"/>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 xml:space="preserve">Given that when a child is having symptoms of severe low blood sugar, it can be a stressful situation, it is highly recommended that you familiarize yourself with the student’s emergency plan beforehand. </w:t>
      </w:r>
    </w:p>
    <w:p w:rsidR="004A7B9C" w:rsidRPr="004A7B9C" w:rsidRDefault="004A7B9C" w:rsidP="004A7B9C">
      <w:pPr>
        <w:numPr>
          <w:ilvl w:val="0"/>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 xml:space="preserve">Your school nurse or other licensed health care professional must review the glucagon procedure with you to ensure that you have the skills to perform this emergency medication administration. </w:t>
      </w:r>
    </w:p>
    <w:p w:rsidR="004A7B9C" w:rsidRPr="004A7B9C" w:rsidRDefault="004A7B9C" w:rsidP="004A7B9C">
      <w:pPr>
        <w:numPr>
          <w:ilvl w:val="0"/>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lastRenderedPageBreak/>
        <w:t xml:space="preserve">Store the diabetes emergency plan and glucagon kit in a location that is easily accessible during a severe low blood sugar event. </w:t>
      </w:r>
    </w:p>
    <w:p w:rsidR="004A7B9C" w:rsidRPr="004A7B9C" w:rsidRDefault="004A7B9C" w:rsidP="004A7B9C">
      <w:pPr>
        <w:numPr>
          <w:ilvl w:val="1"/>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 xml:space="preserve">Be sure that staff members who have regular contact with the student know where the medication is stored.  </w:t>
      </w:r>
    </w:p>
    <w:p w:rsidR="004A7B9C" w:rsidRPr="004A7B9C" w:rsidRDefault="004A7B9C" w:rsidP="004A7B9C">
      <w:pPr>
        <w:numPr>
          <w:ilvl w:val="0"/>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The glucagon kit contains a vial with powder and a syringe with liquid diluent.</w:t>
      </w:r>
    </w:p>
    <w:p w:rsidR="004A7B9C" w:rsidRPr="004A7B9C" w:rsidRDefault="004A7B9C" w:rsidP="004A7B9C">
      <w:pPr>
        <w:numPr>
          <w:ilvl w:val="0"/>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 xml:space="preserve">Be sure to check the expiration date on the medication package.  </w:t>
      </w:r>
    </w:p>
    <w:p w:rsidR="004A7B9C" w:rsidRPr="004A7B9C" w:rsidRDefault="004A7B9C" w:rsidP="004A7B9C">
      <w:pPr>
        <w:numPr>
          <w:ilvl w:val="0"/>
          <w:numId w:val="2"/>
        </w:numPr>
        <w:autoSpaceDE w:val="0"/>
        <w:autoSpaceDN w:val="0"/>
        <w:adjustRightInd w:val="0"/>
        <w:spacing w:after="0" w:line="360" w:lineRule="auto"/>
        <w:contextualSpacing/>
        <w:rPr>
          <w:rFonts w:ascii="Times New Roman" w:eastAsia="Calibri" w:hAnsi="Times New Roman" w:cs="Times New Roman"/>
          <w:sz w:val="24"/>
        </w:rPr>
      </w:pPr>
      <w:r w:rsidRPr="004A7B9C">
        <w:rPr>
          <w:rFonts w:ascii="Times New Roman" w:eastAsia="Calibri" w:hAnsi="Times New Roman" w:cs="Times New Roman"/>
          <w:sz w:val="24"/>
        </w:rPr>
        <w:t>Remember to keep health care information confidential.</w:t>
      </w:r>
    </w:p>
    <w:p w:rsidR="004A7B9C" w:rsidRPr="004A7B9C" w:rsidRDefault="004A7B9C" w:rsidP="004A7B9C">
      <w:pPr>
        <w:spacing w:after="0" w:line="240" w:lineRule="auto"/>
        <w:rPr>
          <w:rFonts w:ascii="Times New Roman" w:eastAsiaTheme="minorEastAsia" w:hAnsi="Times New Roman" w:cs="Times New Roman"/>
          <w:sz w:val="28"/>
          <w:szCs w:val="24"/>
        </w:rPr>
      </w:pPr>
    </w:p>
    <w:p w:rsidR="005B0870" w:rsidRDefault="006A3860" w:rsidP="006A3860">
      <w:pPr>
        <w:rPr>
          <w:rFonts w:ascii="Times New Roman" w:hAnsi="Times New Roman" w:cs="Times New Roman"/>
          <w:sz w:val="24"/>
        </w:rPr>
      </w:pPr>
      <w:r>
        <w:rPr>
          <w:rFonts w:ascii="Times New Roman" w:hAnsi="Times New Roman" w:cs="Times New Roman"/>
          <w:b/>
          <w:sz w:val="24"/>
        </w:rPr>
        <w:t>Needed s</w:t>
      </w:r>
      <w:r w:rsidR="005B0870" w:rsidRPr="00BB2A9D">
        <w:rPr>
          <w:rFonts w:ascii="Times New Roman" w:hAnsi="Times New Roman" w:cs="Times New Roman"/>
          <w:b/>
          <w:sz w:val="24"/>
        </w:rPr>
        <w:t>upplies</w:t>
      </w:r>
      <w:proofErr w:type="gramStart"/>
      <w:r>
        <w:rPr>
          <w:rFonts w:ascii="Times New Roman" w:hAnsi="Times New Roman" w:cs="Times New Roman"/>
          <w:b/>
          <w:sz w:val="24"/>
        </w:rPr>
        <w:t>:</w:t>
      </w:r>
      <w:proofErr w:type="gramEnd"/>
      <w:r>
        <w:rPr>
          <w:rFonts w:ascii="Times New Roman" w:hAnsi="Times New Roman" w:cs="Times New Roman"/>
          <w:b/>
          <w:sz w:val="24"/>
        </w:rPr>
        <w:br/>
      </w:r>
      <w:r w:rsidR="009F002B" w:rsidRPr="00BB2A9D">
        <w:rPr>
          <w:rFonts w:ascii="Times New Roman" w:hAnsi="Times New Roman" w:cs="Times New Roman"/>
          <w:sz w:val="24"/>
        </w:rPr>
        <w:t>Glucagon k</w:t>
      </w:r>
      <w:r w:rsidR="005B0870" w:rsidRPr="00BB2A9D">
        <w:rPr>
          <w:rFonts w:ascii="Times New Roman" w:hAnsi="Times New Roman" w:cs="Times New Roman"/>
          <w:sz w:val="24"/>
        </w:rPr>
        <w:t>it</w:t>
      </w:r>
      <w:r>
        <w:rPr>
          <w:rFonts w:ascii="Times New Roman" w:hAnsi="Times New Roman" w:cs="Times New Roman"/>
          <w:sz w:val="24"/>
        </w:rPr>
        <w:br/>
      </w:r>
      <w:r w:rsidR="009F002B" w:rsidRPr="00BB2A9D">
        <w:rPr>
          <w:rFonts w:ascii="Times New Roman" w:hAnsi="Times New Roman" w:cs="Times New Roman"/>
          <w:sz w:val="24"/>
        </w:rPr>
        <w:t>Gloves</w:t>
      </w:r>
      <w:r>
        <w:rPr>
          <w:rFonts w:ascii="Times New Roman" w:hAnsi="Times New Roman" w:cs="Times New Roman"/>
          <w:sz w:val="24"/>
        </w:rPr>
        <w:br/>
      </w:r>
      <w:r w:rsidR="009F002B" w:rsidRPr="00BB2A9D">
        <w:rPr>
          <w:rFonts w:ascii="Times New Roman" w:hAnsi="Times New Roman" w:cs="Times New Roman"/>
          <w:sz w:val="24"/>
        </w:rPr>
        <w:t>Alcohol s</w:t>
      </w:r>
      <w:r w:rsidR="005B0870" w:rsidRPr="00BB2A9D">
        <w:rPr>
          <w:rFonts w:ascii="Times New Roman" w:hAnsi="Times New Roman" w:cs="Times New Roman"/>
          <w:sz w:val="24"/>
        </w:rPr>
        <w:t>wab</w:t>
      </w:r>
      <w:r w:rsidR="009F002B" w:rsidRPr="00BB2A9D">
        <w:rPr>
          <w:rFonts w:ascii="Times New Roman" w:hAnsi="Times New Roman" w:cs="Times New Roman"/>
          <w:sz w:val="24"/>
        </w:rPr>
        <w:t>s</w:t>
      </w:r>
    </w:p>
    <w:p w:rsidR="004A7B9C" w:rsidRDefault="004A7B9C" w:rsidP="005B0870">
      <w:pPr>
        <w:spacing w:after="0"/>
        <w:rPr>
          <w:rFonts w:ascii="Times New Roman" w:hAnsi="Times New Roman" w:cs="Times New Roman"/>
          <w:sz w:val="24"/>
        </w:rPr>
      </w:pPr>
    </w:p>
    <w:p w:rsidR="004A7B9C" w:rsidRPr="004A7B9C" w:rsidRDefault="004A7B9C" w:rsidP="004A7B9C">
      <w:pPr>
        <w:spacing w:after="0"/>
        <w:rPr>
          <w:rFonts w:ascii="Times New Roman" w:hAnsi="Times New Roman" w:cs="Times New Roman"/>
          <w:b/>
          <w:sz w:val="24"/>
        </w:rPr>
      </w:pPr>
      <w:r w:rsidRPr="004A7B9C">
        <w:rPr>
          <w:rFonts w:ascii="Times New Roman" w:hAnsi="Times New Roman" w:cs="Times New Roman"/>
          <w:b/>
          <w:sz w:val="24"/>
        </w:rPr>
        <w:t xml:space="preserve">Procedure </w:t>
      </w:r>
      <w:r w:rsidR="006A3860">
        <w:rPr>
          <w:rFonts w:ascii="Times New Roman" w:hAnsi="Times New Roman" w:cs="Times New Roman"/>
          <w:b/>
          <w:sz w:val="24"/>
        </w:rPr>
        <w:t>for medication administration:</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 xml:space="preserve">Identify that symptoms of a severe low blood sugar reaction are present and that based on </w:t>
      </w:r>
      <w:proofErr w:type="gramStart"/>
      <w:r w:rsidRPr="004A7B9C">
        <w:rPr>
          <w:rFonts w:ascii="Times New Roman" w:hAnsi="Times New Roman" w:cs="Times New Roman"/>
          <w:sz w:val="24"/>
        </w:rPr>
        <w:t>the</w:t>
      </w:r>
      <w:proofErr w:type="gramEnd"/>
      <w:r w:rsidRPr="004A7B9C">
        <w:rPr>
          <w:rFonts w:ascii="Times New Roman" w:hAnsi="Times New Roman" w:cs="Times New Roman"/>
          <w:sz w:val="24"/>
        </w:rPr>
        <w:t xml:space="preserve"> child’s diabetes emergency plan, medication needs to be given. </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Call for assistance.  Ask that another school staff person call 911 or emergency medical services.</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 xml:space="preserve">Explain the procedure to the child at his/her level of understanding. </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Assemble supplies and place on a clean surface.</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 xml:space="preserve">Review the student’s diabetes emergency action plan. </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Check the glucagon kit and order to be sure it is</w:t>
      </w:r>
    </w:p>
    <w:p w:rsidR="004A7B9C" w:rsidRPr="004A7B9C" w:rsidRDefault="004A7B9C" w:rsidP="004A7B9C">
      <w:pPr>
        <w:numPr>
          <w:ilvl w:val="1"/>
          <w:numId w:val="1"/>
        </w:numPr>
        <w:spacing w:after="0"/>
        <w:rPr>
          <w:rFonts w:ascii="Times New Roman" w:hAnsi="Times New Roman" w:cs="Times New Roman"/>
          <w:sz w:val="24"/>
        </w:rPr>
      </w:pPr>
      <w:r w:rsidRPr="004A7B9C">
        <w:rPr>
          <w:rFonts w:ascii="Times New Roman" w:hAnsi="Times New Roman" w:cs="Times New Roman"/>
          <w:sz w:val="24"/>
        </w:rPr>
        <w:t>For the right child</w:t>
      </w:r>
    </w:p>
    <w:p w:rsidR="004A7B9C" w:rsidRPr="004A7B9C" w:rsidRDefault="004A7B9C" w:rsidP="004A7B9C">
      <w:pPr>
        <w:numPr>
          <w:ilvl w:val="1"/>
          <w:numId w:val="1"/>
        </w:numPr>
        <w:spacing w:after="0"/>
        <w:rPr>
          <w:rFonts w:ascii="Times New Roman" w:hAnsi="Times New Roman" w:cs="Times New Roman"/>
          <w:sz w:val="24"/>
        </w:rPr>
      </w:pPr>
      <w:r w:rsidRPr="004A7B9C">
        <w:rPr>
          <w:rFonts w:ascii="Times New Roman" w:hAnsi="Times New Roman" w:cs="Times New Roman"/>
          <w:sz w:val="24"/>
        </w:rPr>
        <w:t>The right medication</w:t>
      </w:r>
    </w:p>
    <w:p w:rsidR="004A7B9C" w:rsidRPr="004A7B9C" w:rsidRDefault="004A7B9C" w:rsidP="004A7B9C">
      <w:pPr>
        <w:numPr>
          <w:ilvl w:val="1"/>
          <w:numId w:val="1"/>
        </w:numPr>
        <w:spacing w:after="0"/>
        <w:rPr>
          <w:rFonts w:ascii="Times New Roman" w:hAnsi="Times New Roman" w:cs="Times New Roman"/>
          <w:sz w:val="24"/>
        </w:rPr>
      </w:pPr>
      <w:r w:rsidRPr="004A7B9C">
        <w:rPr>
          <w:rFonts w:ascii="Times New Roman" w:hAnsi="Times New Roman" w:cs="Times New Roman"/>
          <w:sz w:val="24"/>
        </w:rPr>
        <w:t>The right dose</w:t>
      </w:r>
    </w:p>
    <w:p w:rsidR="004A7B9C" w:rsidRPr="004A7B9C" w:rsidRDefault="004A7B9C" w:rsidP="004A7B9C">
      <w:pPr>
        <w:numPr>
          <w:ilvl w:val="1"/>
          <w:numId w:val="1"/>
        </w:numPr>
        <w:spacing w:after="0"/>
        <w:rPr>
          <w:rFonts w:ascii="Times New Roman" w:hAnsi="Times New Roman" w:cs="Times New Roman"/>
          <w:sz w:val="24"/>
        </w:rPr>
      </w:pPr>
      <w:r w:rsidRPr="004A7B9C">
        <w:rPr>
          <w:rFonts w:ascii="Times New Roman" w:hAnsi="Times New Roman" w:cs="Times New Roman"/>
          <w:sz w:val="24"/>
        </w:rPr>
        <w:t>Being given at the right time and</w:t>
      </w:r>
    </w:p>
    <w:p w:rsidR="004A7B9C" w:rsidRPr="004A7B9C" w:rsidRDefault="004A7B9C" w:rsidP="004A7B9C">
      <w:pPr>
        <w:numPr>
          <w:ilvl w:val="1"/>
          <w:numId w:val="1"/>
        </w:numPr>
        <w:spacing w:after="0"/>
        <w:rPr>
          <w:rFonts w:ascii="Times New Roman" w:hAnsi="Times New Roman" w:cs="Times New Roman"/>
          <w:sz w:val="24"/>
        </w:rPr>
      </w:pPr>
      <w:r w:rsidRPr="004A7B9C">
        <w:rPr>
          <w:rFonts w:ascii="Times New Roman" w:hAnsi="Times New Roman" w:cs="Times New Roman"/>
          <w:sz w:val="24"/>
        </w:rPr>
        <w:t>Being given by the right route.</w:t>
      </w:r>
    </w:p>
    <w:p w:rsidR="004A7B9C" w:rsidRPr="004A7B9C" w:rsidRDefault="004A7B9C" w:rsidP="004A7B9C">
      <w:pPr>
        <w:numPr>
          <w:ilvl w:val="1"/>
          <w:numId w:val="1"/>
        </w:numPr>
        <w:spacing w:after="0"/>
        <w:rPr>
          <w:rFonts w:ascii="Times New Roman" w:hAnsi="Times New Roman" w:cs="Times New Roman"/>
          <w:sz w:val="24"/>
        </w:rPr>
      </w:pPr>
      <w:r w:rsidRPr="004A7B9C">
        <w:rPr>
          <w:rFonts w:ascii="Times New Roman" w:hAnsi="Times New Roman" w:cs="Times New Roman"/>
          <w:sz w:val="24"/>
        </w:rPr>
        <w:t xml:space="preserve">Also check to ensure the medication has not expired. </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Wash your hands if possible.</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Put on gloves.</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Remove the glucagon vial and syringe containing the liquid or diluent from the case.</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Remove the gray cap from the vial.</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Remove the cap from the syringe.</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Place the needle tip in the center top of the vial and slowly push the diluent from the syringe into the vial.</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 xml:space="preserve">Gently swirl the vial with the syringe still in the vial until the solution is clear (this takes about 10-15 seconds). </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lastRenderedPageBreak/>
        <w:t>Turn the vial upside down, being sure that the needle does not fall out of the vial.</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Pull the solution into the syringe, by pulling back on the plunger, as you withdraw the ordered amount of glucagon solution.</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If present, remove air bubbles by tapping on the outside of the syringe and expelling the air or by pushing the dose back into the vial and pulling back on the plunger again.</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Recheck the 5 rights again, checking the glucagon kit and order to be sure it is</w:t>
      </w:r>
    </w:p>
    <w:p w:rsidR="004A7B9C" w:rsidRPr="004A7B9C" w:rsidRDefault="004A7B9C" w:rsidP="004A7B9C">
      <w:pPr>
        <w:numPr>
          <w:ilvl w:val="1"/>
          <w:numId w:val="1"/>
        </w:numPr>
        <w:spacing w:after="0"/>
        <w:rPr>
          <w:rFonts w:ascii="Times New Roman" w:hAnsi="Times New Roman" w:cs="Times New Roman"/>
          <w:sz w:val="24"/>
        </w:rPr>
      </w:pPr>
      <w:r w:rsidRPr="004A7B9C">
        <w:rPr>
          <w:rFonts w:ascii="Times New Roman" w:hAnsi="Times New Roman" w:cs="Times New Roman"/>
          <w:sz w:val="24"/>
        </w:rPr>
        <w:t>For the right child</w:t>
      </w:r>
    </w:p>
    <w:p w:rsidR="004A7B9C" w:rsidRPr="004A7B9C" w:rsidRDefault="004A7B9C" w:rsidP="004A7B9C">
      <w:pPr>
        <w:numPr>
          <w:ilvl w:val="1"/>
          <w:numId w:val="1"/>
        </w:numPr>
        <w:spacing w:after="0"/>
        <w:rPr>
          <w:rFonts w:ascii="Times New Roman" w:hAnsi="Times New Roman" w:cs="Times New Roman"/>
          <w:sz w:val="24"/>
        </w:rPr>
      </w:pPr>
      <w:r w:rsidRPr="004A7B9C">
        <w:rPr>
          <w:rFonts w:ascii="Times New Roman" w:hAnsi="Times New Roman" w:cs="Times New Roman"/>
          <w:sz w:val="24"/>
        </w:rPr>
        <w:t>The right medication</w:t>
      </w:r>
    </w:p>
    <w:p w:rsidR="004A7B9C" w:rsidRPr="004A7B9C" w:rsidRDefault="004A7B9C" w:rsidP="004A7B9C">
      <w:pPr>
        <w:numPr>
          <w:ilvl w:val="1"/>
          <w:numId w:val="1"/>
        </w:numPr>
        <w:spacing w:after="0"/>
        <w:rPr>
          <w:rFonts w:ascii="Times New Roman" w:hAnsi="Times New Roman" w:cs="Times New Roman"/>
          <w:sz w:val="24"/>
        </w:rPr>
      </w:pPr>
      <w:r w:rsidRPr="004A7B9C">
        <w:rPr>
          <w:rFonts w:ascii="Times New Roman" w:hAnsi="Times New Roman" w:cs="Times New Roman"/>
          <w:sz w:val="24"/>
        </w:rPr>
        <w:t>The right dose</w:t>
      </w:r>
    </w:p>
    <w:p w:rsidR="004A7B9C" w:rsidRPr="004A7B9C" w:rsidRDefault="004A7B9C" w:rsidP="004A7B9C">
      <w:pPr>
        <w:numPr>
          <w:ilvl w:val="1"/>
          <w:numId w:val="1"/>
        </w:numPr>
        <w:spacing w:after="0"/>
        <w:rPr>
          <w:rFonts w:ascii="Times New Roman" w:hAnsi="Times New Roman" w:cs="Times New Roman"/>
          <w:sz w:val="24"/>
        </w:rPr>
      </w:pPr>
      <w:r w:rsidRPr="004A7B9C">
        <w:rPr>
          <w:rFonts w:ascii="Times New Roman" w:hAnsi="Times New Roman" w:cs="Times New Roman"/>
          <w:sz w:val="24"/>
        </w:rPr>
        <w:t>Being given at the right time and</w:t>
      </w:r>
    </w:p>
    <w:p w:rsidR="004A7B9C" w:rsidRPr="004A7B9C" w:rsidRDefault="004A7B9C" w:rsidP="004A7B9C">
      <w:pPr>
        <w:numPr>
          <w:ilvl w:val="1"/>
          <w:numId w:val="1"/>
        </w:numPr>
        <w:spacing w:after="0"/>
        <w:rPr>
          <w:rFonts w:ascii="Times New Roman" w:hAnsi="Times New Roman" w:cs="Times New Roman"/>
          <w:sz w:val="24"/>
        </w:rPr>
      </w:pPr>
      <w:r w:rsidRPr="004A7B9C">
        <w:rPr>
          <w:rFonts w:ascii="Times New Roman" w:hAnsi="Times New Roman" w:cs="Times New Roman"/>
          <w:sz w:val="24"/>
        </w:rPr>
        <w:t>Being given by the right route.</w:t>
      </w:r>
    </w:p>
    <w:p w:rsidR="004A7B9C" w:rsidRPr="004A7B9C" w:rsidRDefault="004A7B9C" w:rsidP="004A7B9C">
      <w:pPr>
        <w:spacing w:after="0"/>
        <w:rPr>
          <w:rFonts w:ascii="Times New Roman" w:hAnsi="Times New Roman" w:cs="Times New Roman"/>
          <w:sz w:val="24"/>
        </w:rPr>
      </w:pP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 xml:space="preserve">Identify the location (buttock, thigh, or arm) for the injection. </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Cleanse the injection site with an alcohol wipe.</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 xml:space="preserve">Insert the needle into the skin at a 90 degree angle </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 xml:space="preserve">Slowly inject the solution.  </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 xml:space="preserve">Remove syringe. </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Put the used syringe in the carrying case.</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 xml:space="preserve">Close the carrying case to avoid a possible needle stick injury. </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Apply pressure using the alcohol wipe and gently massage injection site.</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 xml:space="preserve">If the student is not lying on their side, move the student to a side-lying position because vomiting often follows the injection of glucagon. </w:t>
      </w:r>
    </w:p>
    <w:p w:rsidR="004A7B9C" w:rsidRPr="004A7B9C" w:rsidRDefault="004A7B9C" w:rsidP="004A7B9C">
      <w:pPr>
        <w:numPr>
          <w:ilvl w:val="1"/>
          <w:numId w:val="1"/>
        </w:numPr>
        <w:spacing w:after="0"/>
        <w:rPr>
          <w:rFonts w:ascii="Times New Roman" w:hAnsi="Times New Roman" w:cs="Times New Roman"/>
          <w:sz w:val="24"/>
        </w:rPr>
      </w:pPr>
      <w:r w:rsidRPr="004A7B9C">
        <w:rPr>
          <w:rFonts w:ascii="Times New Roman" w:hAnsi="Times New Roman" w:cs="Times New Roman"/>
          <w:sz w:val="24"/>
        </w:rPr>
        <w:t xml:space="preserve">If needed, ask another person for assistance.  </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If alone with student, and you have not already called 911 or emergency medical service, do so now.</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 xml:space="preserve"> Monitor the student’s arousal, pulse and respirations.</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If breathing stops, begin rescue breaths.</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If breathing and heartbeat stop, begin CPR.</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Maintain a side-lying position to prevent aspiration due to vomiting.</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Once rescue squad arrives, inform them of medication administered, including type of medication, dose and time.</w:t>
      </w:r>
    </w:p>
    <w:p w:rsidR="004A7B9C" w:rsidRPr="004A7B9C" w:rsidRDefault="004A7B9C" w:rsidP="004A7B9C">
      <w:pPr>
        <w:numPr>
          <w:ilvl w:val="1"/>
          <w:numId w:val="1"/>
        </w:numPr>
        <w:spacing w:after="0"/>
        <w:rPr>
          <w:rFonts w:ascii="Times New Roman" w:hAnsi="Times New Roman" w:cs="Times New Roman"/>
          <w:sz w:val="24"/>
        </w:rPr>
      </w:pPr>
      <w:r w:rsidRPr="004A7B9C">
        <w:rPr>
          <w:rFonts w:ascii="Times New Roman" w:hAnsi="Times New Roman" w:cs="Times New Roman"/>
          <w:sz w:val="24"/>
        </w:rPr>
        <w:t xml:space="preserve">Send along glucagon kit along with used dose.  </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 xml:space="preserve">Dispose of all used materials in proper receptacles.  </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Remove gloves and wash hands.</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Follow up with the parent or guardian and healthcare provider, as needed</w:t>
      </w:r>
    </w:p>
    <w:p w:rsidR="004A7B9C" w:rsidRPr="004A7B9C" w:rsidRDefault="004A7B9C" w:rsidP="004A7B9C">
      <w:pPr>
        <w:numPr>
          <w:ilvl w:val="0"/>
          <w:numId w:val="1"/>
        </w:numPr>
        <w:spacing w:after="0"/>
        <w:rPr>
          <w:rFonts w:ascii="Times New Roman" w:hAnsi="Times New Roman" w:cs="Times New Roman"/>
          <w:sz w:val="24"/>
        </w:rPr>
      </w:pPr>
      <w:r w:rsidRPr="004A7B9C">
        <w:rPr>
          <w:rFonts w:ascii="Times New Roman" w:hAnsi="Times New Roman" w:cs="Times New Roman"/>
          <w:sz w:val="24"/>
        </w:rPr>
        <w:t>Document the event and administration of glucagon, including time, date, dosage, and site of administration.</w:t>
      </w:r>
    </w:p>
    <w:p w:rsidR="004A7B9C" w:rsidRPr="004A7B9C" w:rsidRDefault="004A7B9C" w:rsidP="004A7B9C">
      <w:pPr>
        <w:spacing w:after="0"/>
        <w:rPr>
          <w:rFonts w:ascii="Times New Roman" w:hAnsi="Times New Roman" w:cs="Times New Roman"/>
          <w:sz w:val="24"/>
        </w:rPr>
      </w:pPr>
    </w:p>
    <w:p w:rsidR="004A7B9C" w:rsidRPr="00BB2A9D" w:rsidRDefault="004A7B9C" w:rsidP="005B0870">
      <w:pPr>
        <w:spacing w:after="0"/>
        <w:rPr>
          <w:rFonts w:ascii="Times New Roman" w:hAnsi="Times New Roman" w:cs="Times New Roman"/>
          <w:sz w:val="24"/>
        </w:rPr>
      </w:pPr>
    </w:p>
    <w:sectPr w:rsidR="004A7B9C" w:rsidRPr="00BB2A9D" w:rsidSect="003235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31" w:rsidRDefault="004D0331" w:rsidP="00E4226A">
      <w:pPr>
        <w:spacing w:after="0" w:line="240" w:lineRule="auto"/>
      </w:pPr>
      <w:r>
        <w:separator/>
      </w:r>
    </w:p>
  </w:endnote>
  <w:endnote w:type="continuationSeparator" w:id="0">
    <w:p w:rsidR="004D0331" w:rsidRDefault="004D0331" w:rsidP="00E4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6A" w:rsidRDefault="00E42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6A" w:rsidRPr="00E4226A" w:rsidRDefault="00E4226A">
    <w:pPr>
      <w:pStyle w:val="Footer"/>
      <w:rPr>
        <w:rFonts w:ascii="Times New Roman" w:hAnsi="Times New Roman" w:cs="Times New Roman"/>
        <w:sz w:val="24"/>
      </w:rPr>
    </w:pPr>
    <w:r w:rsidRPr="00E4226A">
      <w:rPr>
        <w:rFonts w:ascii="Times New Roman" w:hAnsi="Times New Roman" w:cs="Times New Roman"/>
        <w:sz w:val="24"/>
      </w:rPr>
      <w:t>6/01/2015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6A" w:rsidRDefault="00E42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31" w:rsidRDefault="004D0331" w:rsidP="00E4226A">
      <w:pPr>
        <w:spacing w:after="0" w:line="240" w:lineRule="auto"/>
      </w:pPr>
      <w:r>
        <w:separator/>
      </w:r>
    </w:p>
  </w:footnote>
  <w:footnote w:type="continuationSeparator" w:id="0">
    <w:p w:rsidR="004D0331" w:rsidRDefault="004D0331" w:rsidP="00E42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6A" w:rsidRDefault="00E42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6A" w:rsidRPr="00E4226A" w:rsidRDefault="00E4226A">
    <w:pPr>
      <w:pStyle w:val="Header"/>
      <w:rPr>
        <w:rFonts w:ascii="Times New Roman" w:hAnsi="Times New Roman" w:cs="Times New Roman"/>
        <w:sz w:val="24"/>
      </w:rPr>
    </w:pPr>
    <w:r>
      <w:rPr>
        <w:rFonts w:ascii="Times New Roman" w:hAnsi="Times New Roman" w:cs="Times New Roman"/>
        <w:sz w:val="24"/>
      </w:rPr>
      <w:t>Wisconsin Department of Public Instruction Medication Administration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6A" w:rsidRDefault="00E42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1ABE"/>
    <w:multiLevelType w:val="hybridMultilevel"/>
    <w:tmpl w:val="4F7E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B047E2"/>
    <w:multiLevelType w:val="hybridMultilevel"/>
    <w:tmpl w:val="8EB68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70"/>
    <w:rsid w:val="002B56D1"/>
    <w:rsid w:val="003235E4"/>
    <w:rsid w:val="004A7B9C"/>
    <w:rsid w:val="004D0331"/>
    <w:rsid w:val="00591922"/>
    <w:rsid w:val="005B0870"/>
    <w:rsid w:val="006A3860"/>
    <w:rsid w:val="0073639D"/>
    <w:rsid w:val="009F002B"/>
    <w:rsid w:val="00BB2A9D"/>
    <w:rsid w:val="00E4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22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226A"/>
  </w:style>
  <w:style w:type="paragraph" w:styleId="Footer">
    <w:name w:val="footer"/>
    <w:basedOn w:val="Normal"/>
    <w:link w:val="FooterChar"/>
    <w:uiPriority w:val="99"/>
    <w:semiHidden/>
    <w:unhideWhenUsed/>
    <w:rsid w:val="00E422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2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22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226A"/>
  </w:style>
  <w:style w:type="paragraph" w:styleId="Footer">
    <w:name w:val="footer"/>
    <w:basedOn w:val="Normal"/>
    <w:link w:val="FooterChar"/>
    <w:uiPriority w:val="99"/>
    <w:semiHidden/>
    <w:unhideWhenUsed/>
    <w:rsid w:val="00E422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Ische</dc:creator>
  <cp:lastModifiedBy>T</cp:lastModifiedBy>
  <cp:revision>2</cp:revision>
  <dcterms:created xsi:type="dcterms:W3CDTF">2015-07-20T02:22:00Z</dcterms:created>
  <dcterms:modified xsi:type="dcterms:W3CDTF">2015-07-20T02:22:00Z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-153413084</vt:i4>
  </property>
  <property fmtid="{D5CDD505-2E9C-101B-9397-08002B2CF9AE}" pid="3" name="_NewReviewCycle">
    <vt:lpwstr/>
  </property>
  <property fmtid="{D5CDD505-2E9C-101B-9397-08002B2CF9AE}" pid="4" name="_EmailSubject">
    <vt:lpwstr>meds</vt:lpwstr>
  </property>
  <property fmtid="{D5CDD505-2E9C-101B-9397-08002B2CF9AE}" pid="5" name="_AuthorEmail">
    <vt:lpwstr>Bette.Carr@dpi.wi.gov</vt:lpwstr>
  </property>
  <property fmtid="{D5CDD505-2E9C-101B-9397-08002B2CF9AE}" pid="6" name="_AuthorEmailDisplayName">
    <vt:lpwstr>Carr, Bette L.   DPI</vt:lpwstr>
  </property>
  <property fmtid="{D5CDD505-2E9C-101B-9397-08002B2CF9AE}" pid="7" name="_ReviewingToolsShownOnce">
    <vt:lpwstr/>
  </property>
</Properties>
</file>